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073"/>
        <w:gridCol w:w="3110"/>
      </w:tblGrid>
      <w:tr w:rsidR="00B338EA" w:rsidRPr="00C03623" w:rsidTr="00F75894">
        <w:tc>
          <w:tcPr>
            <w:tcW w:w="3289" w:type="dxa"/>
          </w:tcPr>
          <w:p w:rsidR="00B338EA" w:rsidRDefault="00B338EA" w:rsidP="00F75894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338EA" w:rsidRPr="00C03623" w:rsidRDefault="00B338EA" w:rsidP="00F75894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C03623"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B338EA" w:rsidRPr="00C03623" w:rsidRDefault="00B338EA" w:rsidP="00F7589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623"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B338EA" w:rsidRPr="00C03623" w:rsidRDefault="00B338EA" w:rsidP="00B338EA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</w:tcPr>
          <w:p w:rsidR="00B338EA" w:rsidRPr="00C03623" w:rsidRDefault="00B338EA" w:rsidP="00F75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305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14350" cy="724437"/>
                  <wp:effectExtent l="19050" t="0" r="0" b="0"/>
                  <wp:docPr id="10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bpk_gorazde_corel_v13-568x8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32" cy="73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B338EA" w:rsidRDefault="00B338EA" w:rsidP="00F7589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38EA" w:rsidRPr="00C03623" w:rsidRDefault="00B338EA" w:rsidP="00F7589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623"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B338EA" w:rsidRPr="00C03623" w:rsidRDefault="00B338EA" w:rsidP="00F7589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623"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B338EA" w:rsidRPr="00C03623" w:rsidRDefault="00B338EA" w:rsidP="00F75894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623"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B338EA" w:rsidRPr="00C03623" w:rsidRDefault="00B338EA" w:rsidP="00B338EA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8EA" w:rsidTr="00F75894">
        <w:tc>
          <w:tcPr>
            <w:tcW w:w="3289" w:type="dxa"/>
          </w:tcPr>
          <w:p w:rsidR="00B338EA" w:rsidRDefault="00B338EA" w:rsidP="00F7589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9" w:type="dxa"/>
          </w:tcPr>
          <w:p w:rsidR="00B338EA" w:rsidRDefault="00B338EA" w:rsidP="00F7589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7" w:type="dxa"/>
          </w:tcPr>
          <w:p w:rsidR="00B338EA" w:rsidRDefault="00B338EA" w:rsidP="00F7589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338EA" w:rsidRDefault="00B338EA" w:rsidP="004B3E90">
      <w:pPr>
        <w:jc w:val="left"/>
        <w:rPr>
          <w:rFonts w:ascii="Arial" w:hAnsi="Arial" w:cs="Arial"/>
          <w:sz w:val="19"/>
          <w:szCs w:val="19"/>
        </w:rPr>
      </w:pPr>
    </w:p>
    <w:p w:rsidR="00A21DBC" w:rsidRDefault="00A21DBC" w:rsidP="00A21DBC">
      <w:pPr>
        <w:ind w:left="0" w:firstLine="0"/>
        <w:rPr>
          <w:lang w:val="bs-Latn-BA"/>
        </w:rPr>
      </w:pPr>
      <w:r>
        <w:rPr>
          <w:lang w:val="bs-Latn-BA"/>
        </w:rPr>
        <w:tab/>
        <w:t>U Goraždu, 30.12.2013. godine.</w:t>
      </w:r>
    </w:p>
    <w:p w:rsidR="00A21DBC" w:rsidRDefault="00A21DBC" w:rsidP="00A21DBC">
      <w:pPr>
        <w:ind w:left="0" w:firstLine="0"/>
        <w:rPr>
          <w:rFonts w:ascii="Arial" w:hAnsi="Arial" w:cs="Arial"/>
          <w:sz w:val="19"/>
          <w:szCs w:val="19"/>
        </w:rPr>
      </w:pPr>
      <w:r>
        <w:rPr>
          <w:lang w:val="bs-Latn-BA"/>
        </w:rPr>
        <w:tab/>
      </w:r>
    </w:p>
    <w:p w:rsidR="0044773D" w:rsidRDefault="0044773D" w:rsidP="00076C0F">
      <w:pPr>
        <w:ind w:left="0" w:firstLine="0"/>
        <w:rPr>
          <w:sz w:val="40"/>
          <w:szCs w:val="40"/>
          <w:lang w:val="bs-Latn-BA"/>
        </w:rPr>
      </w:pPr>
    </w:p>
    <w:p w:rsidR="00076C0F" w:rsidRPr="0044773D" w:rsidRDefault="00076C0F" w:rsidP="0044773D">
      <w:pPr>
        <w:ind w:left="0" w:firstLine="720"/>
        <w:rPr>
          <w:sz w:val="40"/>
          <w:szCs w:val="40"/>
          <w:lang w:val="bs-Latn-BA"/>
        </w:rPr>
      </w:pPr>
      <w:r w:rsidRPr="0044773D">
        <w:rPr>
          <w:sz w:val="40"/>
          <w:szCs w:val="40"/>
          <w:lang w:val="bs-Latn-BA"/>
        </w:rPr>
        <w:t>OBRAZLOŽENJE BUDŽETA ZA 2014. GODINU</w:t>
      </w:r>
    </w:p>
    <w:p w:rsidR="00076C0F" w:rsidRDefault="00076C0F" w:rsidP="00076C0F">
      <w:pPr>
        <w:ind w:left="0" w:firstLine="0"/>
        <w:rPr>
          <w:lang w:val="bs-Latn-BA"/>
        </w:rPr>
      </w:pPr>
    </w:p>
    <w:p w:rsidR="00985F7A" w:rsidRDefault="00985F7A" w:rsidP="00985F7A">
      <w:pPr>
        <w:ind w:left="0" w:firstLine="720"/>
        <w:rPr>
          <w:lang w:val="bs-Latn-BA"/>
        </w:rPr>
      </w:pPr>
    </w:p>
    <w:p w:rsidR="0044773D" w:rsidRDefault="00B338EA" w:rsidP="00985F7A">
      <w:pPr>
        <w:ind w:left="0" w:firstLine="720"/>
        <w:rPr>
          <w:lang w:val="bs-Latn-BA"/>
        </w:rPr>
      </w:pPr>
      <w:r>
        <w:rPr>
          <w:lang w:val="bs-Latn-BA"/>
        </w:rPr>
        <w:t xml:space="preserve">Budžet kantona za </w:t>
      </w:r>
      <w:r w:rsidR="001B2157">
        <w:rPr>
          <w:lang w:val="bs-Latn-BA"/>
        </w:rPr>
        <w:t xml:space="preserve">2014. godinu donosi </w:t>
      </w:r>
      <w:r>
        <w:rPr>
          <w:lang w:val="bs-Latn-BA"/>
        </w:rPr>
        <w:t xml:space="preserve">se </w:t>
      </w:r>
      <w:r w:rsidR="001B2157">
        <w:rPr>
          <w:lang w:val="bs-Latn-BA"/>
        </w:rPr>
        <w:t xml:space="preserve">u vremenu velike političke nestabilnosti, </w:t>
      </w:r>
      <w:r w:rsidR="00316E0E">
        <w:rPr>
          <w:lang w:val="bs-Latn-BA"/>
        </w:rPr>
        <w:t>prouzrokovanom</w:t>
      </w:r>
      <w:r w:rsidR="001B2157">
        <w:rPr>
          <w:lang w:val="bs-Latn-BA"/>
        </w:rPr>
        <w:t xml:space="preserve"> ekonomskom, socijalnom, političkom i finanijskom krizom </w:t>
      </w:r>
      <w:r w:rsidR="0044773D">
        <w:rPr>
          <w:lang w:val="bs-Latn-BA"/>
        </w:rPr>
        <w:t xml:space="preserve">u </w:t>
      </w:r>
      <w:r w:rsidR="001B2157">
        <w:rPr>
          <w:lang w:val="bs-Latn-BA"/>
        </w:rPr>
        <w:t>Bosn</w:t>
      </w:r>
      <w:r w:rsidR="0044773D">
        <w:rPr>
          <w:lang w:val="bs-Latn-BA"/>
        </w:rPr>
        <w:t>i</w:t>
      </w:r>
      <w:r w:rsidR="001B2157">
        <w:rPr>
          <w:lang w:val="bs-Latn-BA"/>
        </w:rPr>
        <w:t xml:space="preserve">  i Hercegovin</w:t>
      </w:r>
      <w:r w:rsidR="0044773D">
        <w:rPr>
          <w:lang w:val="bs-Latn-BA"/>
        </w:rPr>
        <w:t>i</w:t>
      </w:r>
      <w:r w:rsidR="00A21DBC">
        <w:rPr>
          <w:lang w:val="bs-Latn-BA"/>
        </w:rPr>
        <w:t>,</w:t>
      </w:r>
      <w:r w:rsidR="008702ED">
        <w:rPr>
          <w:lang w:val="bs-Latn-BA"/>
        </w:rPr>
        <w:t xml:space="preserve"> </w:t>
      </w:r>
      <w:r>
        <w:rPr>
          <w:lang w:val="bs-Latn-BA"/>
        </w:rPr>
        <w:t>čija je d</w:t>
      </w:r>
      <w:r w:rsidR="001B2157">
        <w:rPr>
          <w:lang w:val="bs-Latn-BA"/>
        </w:rPr>
        <w:t xml:space="preserve">irektna posljedica smanjenje raspoloživih javnih prihoda za finansiranje </w:t>
      </w:r>
      <w:r w:rsidR="0044773D">
        <w:rPr>
          <w:lang w:val="bs-Latn-BA"/>
        </w:rPr>
        <w:t xml:space="preserve">budžetske potrošnje koja je velikim dijelom </w:t>
      </w:r>
      <w:r w:rsidR="001B2157">
        <w:rPr>
          <w:lang w:val="bs-Latn-BA"/>
        </w:rPr>
        <w:t>neefikas</w:t>
      </w:r>
      <w:r w:rsidR="008702ED">
        <w:rPr>
          <w:lang w:val="bs-Latn-BA"/>
        </w:rPr>
        <w:t>n</w:t>
      </w:r>
      <w:r w:rsidR="0044773D">
        <w:rPr>
          <w:lang w:val="bs-Latn-BA"/>
        </w:rPr>
        <w:t>a</w:t>
      </w:r>
      <w:r w:rsidR="001B2157">
        <w:rPr>
          <w:lang w:val="bs-Latn-BA"/>
        </w:rPr>
        <w:t>, nepravičn</w:t>
      </w:r>
      <w:r w:rsidR="0044773D">
        <w:rPr>
          <w:lang w:val="bs-Latn-BA"/>
        </w:rPr>
        <w:t>a</w:t>
      </w:r>
      <w:r w:rsidR="001B2157">
        <w:rPr>
          <w:lang w:val="bs-Latn-BA"/>
        </w:rPr>
        <w:t xml:space="preserve"> </w:t>
      </w:r>
      <w:r w:rsidR="0044773D">
        <w:rPr>
          <w:lang w:val="bs-Latn-BA"/>
        </w:rPr>
        <w:t xml:space="preserve">a posebno </w:t>
      </w:r>
      <w:r w:rsidR="001B2157">
        <w:rPr>
          <w:lang w:val="bs-Latn-BA"/>
        </w:rPr>
        <w:t>neodrživ</w:t>
      </w:r>
      <w:r w:rsidR="0044773D">
        <w:rPr>
          <w:lang w:val="bs-Latn-BA"/>
        </w:rPr>
        <w:t>a.</w:t>
      </w:r>
    </w:p>
    <w:p w:rsidR="00484972" w:rsidRDefault="00484972" w:rsidP="00985F7A">
      <w:pPr>
        <w:ind w:left="0" w:firstLine="720"/>
        <w:rPr>
          <w:lang w:val="bs-Latn-BA"/>
        </w:rPr>
      </w:pPr>
    </w:p>
    <w:p w:rsidR="00484972" w:rsidRDefault="00484972" w:rsidP="00985F7A">
      <w:pPr>
        <w:ind w:left="0" w:firstLine="720"/>
        <w:rPr>
          <w:lang w:val="bs-Latn-BA"/>
        </w:rPr>
      </w:pPr>
      <w:r>
        <w:rPr>
          <w:lang w:val="bs-Latn-BA"/>
        </w:rPr>
        <w:t>Takvu situaciju odražava i Budžet kantona za 2014. godinu. Vlada je predložila Budžet u iznosu od 42.011.084 KM. Najznačajnija promjena u budžetskoj politici za 2014. godinu jeste uvrštavanje obaveza po osnovu kredita koji je Bosansko-podrinjski kanton Goražde dobio od Vlade Federacije BiH a koji je finansiran iz sredstava MMF u iznosu od 8,7 miliona KM. U Budžetu za 2014. godinu za troškove kamate i otplatu kredit</w:t>
      </w:r>
      <w:r w:rsidR="00696DF0">
        <w:rPr>
          <w:lang w:val="bs-Latn-BA"/>
        </w:rPr>
        <w:t>a planiran je iznos od 1.599.759 KM što je skoro čet</w:t>
      </w:r>
      <w:r w:rsidR="004F6E90">
        <w:rPr>
          <w:lang w:val="bs-Latn-BA"/>
        </w:rPr>
        <w:t>i</w:t>
      </w:r>
      <w:r w:rsidR="00696DF0">
        <w:rPr>
          <w:lang w:val="bs-Latn-BA"/>
        </w:rPr>
        <w:t xml:space="preserve">ri puta veći iznos nego u 2013. godini. </w:t>
      </w:r>
    </w:p>
    <w:p w:rsidR="00696DF0" w:rsidRDefault="00696DF0" w:rsidP="00985F7A">
      <w:pPr>
        <w:ind w:left="0" w:firstLine="720"/>
        <w:rPr>
          <w:lang w:val="bs-Latn-BA"/>
        </w:rPr>
      </w:pPr>
    </w:p>
    <w:p w:rsidR="00696DF0" w:rsidRDefault="00696DF0" w:rsidP="00985F7A">
      <w:pPr>
        <w:ind w:left="0" w:firstLine="720"/>
        <w:rPr>
          <w:lang w:val="bs-Latn-BA"/>
        </w:rPr>
      </w:pPr>
      <w:r>
        <w:rPr>
          <w:lang w:val="bs-Latn-BA"/>
        </w:rPr>
        <w:t>Ukoliko bi budžet kantona za 2014. godinu posmatrali bez sredstava nam</w:t>
      </w:r>
      <w:r w:rsidR="004F6E90">
        <w:rPr>
          <w:lang w:val="bs-Latn-BA"/>
        </w:rPr>
        <w:t>i</w:t>
      </w:r>
      <w:r>
        <w:rPr>
          <w:lang w:val="bs-Latn-BA"/>
        </w:rPr>
        <w:t>jenjenih za plaćanje kreditnih obaveza po ugovoru sa Vladom Federacije BiH</w:t>
      </w:r>
      <w:r w:rsidR="004F6E90">
        <w:rPr>
          <w:lang w:val="bs-Latn-BA"/>
        </w:rPr>
        <w:t>,</w:t>
      </w:r>
      <w:r>
        <w:rPr>
          <w:lang w:val="bs-Latn-BA"/>
        </w:rPr>
        <w:t xml:space="preserve"> Budžet kantona bi iznosio 40.819.919 KM i u odnosu </w:t>
      </w:r>
      <w:r w:rsidR="008702ED">
        <w:rPr>
          <w:lang w:val="bs-Latn-BA"/>
        </w:rPr>
        <w:t>n</w:t>
      </w:r>
      <w:r>
        <w:rPr>
          <w:lang w:val="bs-Latn-BA"/>
        </w:rPr>
        <w:t xml:space="preserve">a 2013. godinu bio bi povećan za svega 2,1 procenat, ali i smanjen u odnosu </w:t>
      </w:r>
      <w:r w:rsidR="004F6E90">
        <w:rPr>
          <w:lang w:val="bs-Latn-BA"/>
        </w:rPr>
        <w:t xml:space="preserve">na </w:t>
      </w:r>
      <w:r w:rsidR="008702ED">
        <w:rPr>
          <w:lang w:val="bs-Latn-BA"/>
        </w:rPr>
        <w:t>b</w:t>
      </w:r>
      <w:r>
        <w:rPr>
          <w:lang w:val="bs-Latn-BA"/>
        </w:rPr>
        <w:t>udžet za 2012. godinu za 6,9 %, a u odnosu na 2011. godinu za čak 10 procenata.</w:t>
      </w:r>
    </w:p>
    <w:p w:rsidR="001B2157" w:rsidRDefault="001B2157" w:rsidP="00076C0F">
      <w:pPr>
        <w:ind w:left="0" w:firstLine="0"/>
        <w:rPr>
          <w:lang w:val="bs-Latn-BA"/>
        </w:rPr>
      </w:pPr>
    </w:p>
    <w:p w:rsidR="006F65C9" w:rsidRDefault="001B2157" w:rsidP="00985F7A">
      <w:pPr>
        <w:ind w:left="0" w:firstLine="720"/>
        <w:rPr>
          <w:lang w:val="bs-Latn-BA"/>
        </w:rPr>
      </w:pPr>
      <w:r>
        <w:rPr>
          <w:lang w:val="bs-Latn-BA"/>
        </w:rPr>
        <w:t xml:space="preserve">Jedan od osnovnih razloga zašto budžet nekada zovemo </w:t>
      </w:r>
      <w:r w:rsidR="00405879">
        <w:rPr>
          <w:i/>
          <w:lang w:val="bs-Latn-BA"/>
        </w:rPr>
        <w:t>''najvaž</w:t>
      </w:r>
      <w:r w:rsidRPr="0044773D">
        <w:rPr>
          <w:i/>
          <w:lang w:val="bs-Latn-BA"/>
        </w:rPr>
        <w:t>niji propis nakon Ustava'</w:t>
      </w:r>
      <w:r>
        <w:rPr>
          <w:lang w:val="bs-Latn-BA"/>
        </w:rPr>
        <w:t xml:space="preserve">', jeste </w:t>
      </w:r>
      <w:r w:rsidR="00985F7A">
        <w:rPr>
          <w:lang w:val="bs-Latn-BA"/>
        </w:rPr>
        <w:t xml:space="preserve">direktan </w:t>
      </w:r>
      <w:r>
        <w:rPr>
          <w:lang w:val="bs-Latn-BA"/>
        </w:rPr>
        <w:t>ut</w:t>
      </w:r>
      <w:r w:rsidR="00405879">
        <w:rPr>
          <w:lang w:val="bs-Latn-BA"/>
        </w:rPr>
        <w:t>i</w:t>
      </w:r>
      <w:r>
        <w:rPr>
          <w:lang w:val="bs-Latn-BA"/>
        </w:rPr>
        <w:t>caj smanjenja  javnih prihoda na strukturu budžetske potrošnje</w:t>
      </w:r>
      <w:r w:rsidR="0044773D">
        <w:rPr>
          <w:lang w:val="bs-Latn-BA"/>
        </w:rPr>
        <w:t>, a posebn</w:t>
      </w:r>
      <w:r w:rsidR="00B338EA">
        <w:rPr>
          <w:lang w:val="bs-Latn-BA"/>
        </w:rPr>
        <w:t>o</w:t>
      </w:r>
      <w:r w:rsidR="0044773D">
        <w:rPr>
          <w:lang w:val="bs-Latn-BA"/>
        </w:rPr>
        <w:t xml:space="preserve"> zbog činjenice </w:t>
      </w:r>
      <w:r w:rsidR="00985F7A">
        <w:rPr>
          <w:lang w:val="bs-Latn-BA"/>
        </w:rPr>
        <w:t xml:space="preserve">da smanjenje </w:t>
      </w:r>
      <w:r w:rsidR="00B338EA">
        <w:rPr>
          <w:lang w:val="bs-Latn-BA"/>
        </w:rPr>
        <w:t xml:space="preserve">prihoda proizvodi </w:t>
      </w:r>
      <w:r w:rsidR="006F65C9">
        <w:rPr>
          <w:lang w:val="bs-Latn-BA"/>
        </w:rPr>
        <w:t>efekt</w:t>
      </w:r>
      <w:r w:rsidR="00405879">
        <w:rPr>
          <w:lang w:val="bs-Latn-BA"/>
        </w:rPr>
        <w:t>e</w:t>
      </w:r>
      <w:r w:rsidR="006F65C9">
        <w:rPr>
          <w:lang w:val="bs-Latn-BA"/>
        </w:rPr>
        <w:t xml:space="preserve"> </w:t>
      </w:r>
      <w:r w:rsidR="00B338EA">
        <w:rPr>
          <w:lang w:val="bs-Latn-BA"/>
        </w:rPr>
        <w:t>koj</w:t>
      </w:r>
      <w:r w:rsidR="004F6E90">
        <w:rPr>
          <w:lang w:val="bs-Latn-BA"/>
        </w:rPr>
        <w:t>i</w:t>
      </w:r>
      <w:r w:rsidR="00B338EA">
        <w:rPr>
          <w:lang w:val="bs-Latn-BA"/>
        </w:rPr>
        <w:t xml:space="preserve"> </w:t>
      </w:r>
      <w:r w:rsidR="00985F7A">
        <w:rPr>
          <w:lang w:val="bs-Latn-BA"/>
        </w:rPr>
        <w:t xml:space="preserve">mogu imati </w:t>
      </w:r>
      <w:r w:rsidR="00405879">
        <w:rPr>
          <w:lang w:val="bs-Latn-BA"/>
        </w:rPr>
        <w:t>dalekosežne posljedice, k</w:t>
      </w:r>
      <w:r w:rsidR="0044773D">
        <w:rPr>
          <w:lang w:val="bs-Latn-BA"/>
        </w:rPr>
        <w:t>ako po</w:t>
      </w:r>
      <w:r w:rsidR="006F65C9">
        <w:rPr>
          <w:lang w:val="bs-Latn-BA"/>
        </w:rPr>
        <w:t xml:space="preserve">zitivne </w:t>
      </w:r>
      <w:r w:rsidR="0044773D">
        <w:rPr>
          <w:lang w:val="bs-Latn-BA"/>
        </w:rPr>
        <w:t xml:space="preserve">tako </w:t>
      </w:r>
      <w:r w:rsidR="006F65C9">
        <w:rPr>
          <w:lang w:val="bs-Latn-BA"/>
        </w:rPr>
        <w:t>i negativne.</w:t>
      </w:r>
      <w:r w:rsidR="00A21DBC">
        <w:rPr>
          <w:lang w:val="bs-Latn-BA"/>
        </w:rPr>
        <w:t xml:space="preserve"> </w:t>
      </w:r>
      <w:r w:rsidR="00985F7A">
        <w:rPr>
          <w:lang w:val="bs-Latn-BA"/>
        </w:rPr>
        <w:t xml:space="preserve">Budžet </w:t>
      </w:r>
      <w:r w:rsidR="0044773D">
        <w:rPr>
          <w:lang w:val="bs-Latn-BA"/>
        </w:rPr>
        <w:t>j</w:t>
      </w:r>
      <w:r w:rsidR="006F65C9">
        <w:rPr>
          <w:lang w:val="bs-Latn-BA"/>
        </w:rPr>
        <w:t xml:space="preserve">e </w:t>
      </w:r>
      <w:r w:rsidR="0044773D">
        <w:rPr>
          <w:lang w:val="bs-Latn-BA"/>
        </w:rPr>
        <w:t>jedan o</w:t>
      </w:r>
      <w:r w:rsidR="006F65C9">
        <w:rPr>
          <w:lang w:val="bs-Latn-BA"/>
        </w:rPr>
        <w:t xml:space="preserve">d osnovnih instrumenta izvršne vlasti </w:t>
      </w:r>
      <w:r w:rsidR="004F6E90">
        <w:rPr>
          <w:lang w:val="bs-Latn-BA"/>
        </w:rPr>
        <w:t>K</w:t>
      </w:r>
      <w:r w:rsidR="006F65C9">
        <w:rPr>
          <w:lang w:val="bs-Latn-BA"/>
        </w:rPr>
        <w:t>antona</w:t>
      </w:r>
      <w:r w:rsidR="004F6E90">
        <w:rPr>
          <w:lang w:val="bs-Latn-BA"/>
        </w:rPr>
        <w:t>,</w:t>
      </w:r>
      <w:r w:rsidR="006F65C9">
        <w:rPr>
          <w:lang w:val="bs-Latn-BA"/>
        </w:rPr>
        <w:t xml:space="preserve"> </w:t>
      </w:r>
      <w:r w:rsidR="00985F7A">
        <w:rPr>
          <w:lang w:val="bs-Latn-BA"/>
        </w:rPr>
        <w:t xml:space="preserve">putem kojeg se izvršavaju obaveze propisane </w:t>
      </w:r>
      <w:r w:rsidR="004F6E90">
        <w:rPr>
          <w:lang w:val="bs-Latn-BA"/>
        </w:rPr>
        <w:t>z</w:t>
      </w:r>
      <w:r w:rsidR="00985F7A">
        <w:rPr>
          <w:lang w:val="bs-Latn-BA"/>
        </w:rPr>
        <w:t xml:space="preserve">akonima </w:t>
      </w:r>
      <w:r w:rsidR="004F6E90">
        <w:rPr>
          <w:lang w:val="bs-Latn-BA"/>
        </w:rPr>
        <w:t>K</w:t>
      </w:r>
      <w:r w:rsidR="00985F7A">
        <w:rPr>
          <w:lang w:val="bs-Latn-BA"/>
        </w:rPr>
        <w:t>antona</w:t>
      </w:r>
      <w:r w:rsidR="004F6E90">
        <w:rPr>
          <w:lang w:val="bs-Latn-BA"/>
        </w:rPr>
        <w:t>.</w:t>
      </w:r>
      <w:r w:rsidR="006F65C9">
        <w:rPr>
          <w:lang w:val="bs-Latn-BA"/>
        </w:rPr>
        <w:t xml:space="preserve"> </w:t>
      </w:r>
      <w:r w:rsidR="004F6E90">
        <w:rPr>
          <w:lang w:val="bs-Latn-BA"/>
        </w:rPr>
        <w:t>T</w:t>
      </w:r>
      <w:r w:rsidR="00B338EA">
        <w:rPr>
          <w:lang w:val="bs-Latn-BA"/>
        </w:rPr>
        <w:t>akođe je</w:t>
      </w:r>
      <w:r w:rsidR="006F65C9">
        <w:rPr>
          <w:lang w:val="bs-Latn-BA"/>
        </w:rPr>
        <w:t xml:space="preserve"> ključan za provođenje programa koji doprinose izgradnji privredne i </w:t>
      </w:r>
      <w:r w:rsidR="004F6E90">
        <w:rPr>
          <w:lang w:val="bs-Latn-BA"/>
        </w:rPr>
        <w:t>cestovne infrastrukture, razvoj</w:t>
      </w:r>
      <w:r w:rsidR="006F65C9">
        <w:rPr>
          <w:lang w:val="bs-Latn-BA"/>
        </w:rPr>
        <w:t xml:space="preserve"> obrazovanja, razvoj zdravstvene zaštite, finansiranj</w:t>
      </w:r>
      <w:r w:rsidR="004F6E90">
        <w:rPr>
          <w:lang w:val="bs-Latn-BA"/>
        </w:rPr>
        <w:t>e</w:t>
      </w:r>
      <w:r w:rsidR="006F65C9">
        <w:rPr>
          <w:lang w:val="bs-Latn-BA"/>
        </w:rPr>
        <w:t xml:space="preserve"> sporta i izgradnji sportskih i rekreacijskih terena, ulaganje u turizam i zaštitu okoliša</w:t>
      </w:r>
      <w:r w:rsidR="004F6E90">
        <w:rPr>
          <w:lang w:val="bs-Latn-BA"/>
        </w:rPr>
        <w:t>,</w:t>
      </w:r>
      <w:r w:rsidR="006F65C9">
        <w:rPr>
          <w:lang w:val="bs-Latn-BA"/>
        </w:rPr>
        <w:t xml:space="preserve"> između ostalih.</w:t>
      </w:r>
    </w:p>
    <w:p w:rsidR="006F65C9" w:rsidRDefault="006F65C9" w:rsidP="00076C0F">
      <w:pPr>
        <w:ind w:left="0" w:firstLine="0"/>
        <w:rPr>
          <w:lang w:val="bs-Latn-BA"/>
        </w:rPr>
      </w:pPr>
    </w:p>
    <w:p w:rsidR="008702ED" w:rsidRDefault="004B3E90" w:rsidP="004B3E90">
      <w:pPr>
        <w:ind w:left="0" w:firstLine="720"/>
        <w:rPr>
          <w:lang w:val="bs-Latn-BA"/>
        </w:rPr>
      </w:pPr>
      <w:r>
        <w:rPr>
          <w:lang w:val="bs-Latn-BA"/>
        </w:rPr>
        <w:t>U 2014. godini očekujemo smanjenje prihoda po osnovu indirektnih poreza (PDV) u iznosu od 3.585.637 KM, što predstavlja smanjenje od 13,4 %, a bilježi se i pad prihoda</w:t>
      </w:r>
      <w:r w:rsidR="004F6E90">
        <w:rPr>
          <w:lang w:val="bs-Latn-BA"/>
        </w:rPr>
        <w:t xml:space="preserve"> po osnovu poreza na dohodak. S</w:t>
      </w:r>
      <w:r>
        <w:rPr>
          <w:lang w:val="bs-Latn-BA"/>
        </w:rPr>
        <w:t xml:space="preserve"> druge strane</w:t>
      </w:r>
      <w:r w:rsidR="004F6E90">
        <w:rPr>
          <w:lang w:val="bs-Latn-BA"/>
        </w:rPr>
        <w:t>,</w:t>
      </w:r>
      <w:r>
        <w:rPr>
          <w:lang w:val="bs-Latn-BA"/>
        </w:rPr>
        <w:t xml:space="preserve"> očekujemo dalji rast prihoda po osnovu poreza po kantonalnim propisima, kao i dalji snažni rast neporeznih prihoda po kantonalnim i federalnim propisima. </w:t>
      </w:r>
    </w:p>
    <w:p w:rsidR="008702ED" w:rsidRDefault="008702ED" w:rsidP="004B3E90">
      <w:pPr>
        <w:ind w:left="0" w:firstLine="720"/>
        <w:rPr>
          <w:lang w:val="bs-Latn-BA"/>
        </w:rPr>
      </w:pPr>
    </w:p>
    <w:p w:rsidR="004B3E90" w:rsidRDefault="008702ED" w:rsidP="004B3E90">
      <w:pPr>
        <w:ind w:left="0" w:firstLine="720"/>
        <w:rPr>
          <w:lang w:val="bs-Latn-BA"/>
        </w:rPr>
      </w:pPr>
      <w:r>
        <w:rPr>
          <w:lang w:val="bs-Latn-BA"/>
        </w:rPr>
        <w:t xml:space="preserve">Sredstva za </w:t>
      </w:r>
      <w:r w:rsidR="004B3E90">
        <w:rPr>
          <w:lang w:val="bs-Latn-BA"/>
        </w:rPr>
        <w:t xml:space="preserve">plate i naknade troškova zaposlenih </w:t>
      </w:r>
      <w:r>
        <w:rPr>
          <w:lang w:val="bs-Latn-BA"/>
        </w:rPr>
        <w:t xml:space="preserve">planirana su u skladu sa važećim propisima i </w:t>
      </w:r>
      <w:r w:rsidR="004B3E90">
        <w:rPr>
          <w:lang w:val="bs-Latn-BA"/>
        </w:rPr>
        <w:t>u odnosu na 2008. godinu povećan</w:t>
      </w:r>
      <w:r>
        <w:rPr>
          <w:lang w:val="bs-Latn-BA"/>
        </w:rPr>
        <w:t xml:space="preserve">a su </w:t>
      </w:r>
      <w:r w:rsidR="004B3E90">
        <w:rPr>
          <w:lang w:val="bs-Latn-BA"/>
        </w:rPr>
        <w:t xml:space="preserve">za svega 1,1 % što dovoljno govori o fiskalnoj odgovornosti i disciplini u trošenju budžetskih sredstava ove </w:t>
      </w:r>
      <w:r w:rsidR="004F6E90">
        <w:rPr>
          <w:lang w:val="bs-Latn-BA"/>
        </w:rPr>
        <w:t>Vl</w:t>
      </w:r>
      <w:r w:rsidR="004B3E90">
        <w:rPr>
          <w:lang w:val="bs-Latn-BA"/>
        </w:rPr>
        <w:t xml:space="preserve">ade. Sredstva za isplatu plata su ovim Budžetom </w:t>
      </w:r>
      <w:r w:rsidR="00A21DBC">
        <w:rPr>
          <w:lang w:val="bs-Latn-BA"/>
        </w:rPr>
        <w:t>i socijalna davanja su osigurana</w:t>
      </w:r>
      <w:r w:rsidR="004B3E90">
        <w:rPr>
          <w:lang w:val="bs-Latn-BA"/>
        </w:rPr>
        <w:t xml:space="preserve">, a takođe predviđen je značajan iznos za finansiranje razvojnih programa. </w:t>
      </w:r>
    </w:p>
    <w:p w:rsidR="004B3E90" w:rsidRDefault="004B3E90" w:rsidP="004B3E90">
      <w:pPr>
        <w:ind w:left="0" w:firstLine="720"/>
        <w:rPr>
          <w:lang w:val="bs-Latn-BA"/>
        </w:rPr>
      </w:pPr>
    </w:p>
    <w:p w:rsidR="00210DF7" w:rsidRDefault="006F65C9" w:rsidP="00985F7A">
      <w:pPr>
        <w:ind w:left="0" w:firstLine="720"/>
        <w:rPr>
          <w:lang w:val="bs-Latn-BA"/>
        </w:rPr>
      </w:pPr>
      <w:r>
        <w:rPr>
          <w:lang w:val="bs-Latn-BA"/>
        </w:rPr>
        <w:lastRenderedPageBreak/>
        <w:t>Na žalost</w:t>
      </w:r>
      <w:r w:rsidR="004F6E90">
        <w:rPr>
          <w:lang w:val="bs-Latn-BA"/>
        </w:rPr>
        <w:t>,</w:t>
      </w:r>
      <w:r>
        <w:rPr>
          <w:lang w:val="bs-Latn-BA"/>
        </w:rPr>
        <w:t xml:space="preserve"> </w:t>
      </w:r>
      <w:r w:rsidR="0044773D">
        <w:rPr>
          <w:lang w:val="bs-Latn-BA"/>
        </w:rPr>
        <w:t>kritičari b</w:t>
      </w:r>
      <w:r>
        <w:rPr>
          <w:lang w:val="bs-Latn-BA"/>
        </w:rPr>
        <w:t>udžet</w:t>
      </w:r>
      <w:r w:rsidR="0044773D">
        <w:rPr>
          <w:lang w:val="bs-Latn-BA"/>
        </w:rPr>
        <w:t>a</w:t>
      </w:r>
      <w:r>
        <w:rPr>
          <w:lang w:val="bs-Latn-BA"/>
        </w:rPr>
        <w:t xml:space="preserve"> ne uzimaju </w:t>
      </w:r>
      <w:r w:rsidR="0044773D">
        <w:rPr>
          <w:lang w:val="bs-Latn-BA"/>
        </w:rPr>
        <w:t xml:space="preserve">dovoljno u obzir </w:t>
      </w:r>
      <w:r>
        <w:rPr>
          <w:lang w:val="bs-Latn-BA"/>
        </w:rPr>
        <w:t>stanje u svim drugim kantonima</w:t>
      </w:r>
      <w:r w:rsidR="0044773D">
        <w:rPr>
          <w:lang w:val="bs-Latn-BA"/>
        </w:rPr>
        <w:t xml:space="preserve"> u Federaciji BiH</w:t>
      </w:r>
      <w:r>
        <w:rPr>
          <w:lang w:val="bs-Latn-BA"/>
        </w:rPr>
        <w:t>, oba entiteta, državi, regionu i na kraju u cijeloj Evropi. Takođe</w:t>
      </w:r>
      <w:r w:rsidR="004F6E90">
        <w:rPr>
          <w:lang w:val="bs-Latn-BA"/>
        </w:rPr>
        <w:t>,</w:t>
      </w:r>
      <w:r>
        <w:rPr>
          <w:lang w:val="bs-Latn-BA"/>
        </w:rPr>
        <w:t xml:space="preserve"> kritika koja je usmjerena na politiku SDP </w:t>
      </w:r>
      <w:r w:rsidR="00210DF7">
        <w:rPr>
          <w:lang w:val="bs-Latn-BA"/>
        </w:rPr>
        <w:t xml:space="preserve">i koja </w:t>
      </w:r>
      <w:r w:rsidR="0044773D">
        <w:rPr>
          <w:lang w:val="bs-Latn-BA"/>
        </w:rPr>
        <w:t xml:space="preserve">zagovara stav </w:t>
      </w:r>
      <w:r>
        <w:rPr>
          <w:lang w:val="bs-Latn-BA"/>
        </w:rPr>
        <w:t xml:space="preserve">da </w:t>
      </w:r>
      <w:r w:rsidR="00210DF7">
        <w:rPr>
          <w:lang w:val="bs-Latn-BA"/>
        </w:rPr>
        <w:t>je</w:t>
      </w:r>
      <w:r>
        <w:rPr>
          <w:lang w:val="bs-Latn-BA"/>
        </w:rPr>
        <w:t xml:space="preserve"> </w:t>
      </w:r>
      <w:r w:rsidR="0044773D">
        <w:rPr>
          <w:lang w:val="bs-Latn-BA"/>
        </w:rPr>
        <w:t>ov</w:t>
      </w:r>
      <w:r w:rsidR="00210DF7">
        <w:rPr>
          <w:lang w:val="bs-Latn-BA"/>
        </w:rPr>
        <w:t>a</w:t>
      </w:r>
      <w:r w:rsidR="0044773D">
        <w:rPr>
          <w:lang w:val="bs-Latn-BA"/>
        </w:rPr>
        <w:t xml:space="preserve"> </w:t>
      </w:r>
      <w:r>
        <w:rPr>
          <w:lang w:val="bs-Latn-BA"/>
        </w:rPr>
        <w:t>Vlad</w:t>
      </w:r>
      <w:r w:rsidR="00210DF7">
        <w:rPr>
          <w:lang w:val="bs-Latn-BA"/>
        </w:rPr>
        <w:t>a</w:t>
      </w:r>
      <w:r>
        <w:rPr>
          <w:lang w:val="bs-Latn-BA"/>
        </w:rPr>
        <w:t xml:space="preserve"> dovela </w:t>
      </w:r>
      <w:r w:rsidR="004F6E90">
        <w:rPr>
          <w:lang w:val="bs-Latn-BA"/>
        </w:rPr>
        <w:t>K</w:t>
      </w:r>
      <w:r>
        <w:rPr>
          <w:lang w:val="bs-Latn-BA"/>
        </w:rPr>
        <w:t xml:space="preserve">anton u </w:t>
      </w:r>
      <w:r w:rsidR="00985F7A">
        <w:rPr>
          <w:lang w:val="bs-Latn-BA"/>
        </w:rPr>
        <w:t>teško finan</w:t>
      </w:r>
      <w:r w:rsidR="004F6E90">
        <w:rPr>
          <w:lang w:val="bs-Latn-BA"/>
        </w:rPr>
        <w:t>s</w:t>
      </w:r>
      <w:r w:rsidR="00985F7A">
        <w:rPr>
          <w:lang w:val="bs-Latn-BA"/>
        </w:rPr>
        <w:t xml:space="preserve">ijsko </w:t>
      </w:r>
      <w:r>
        <w:rPr>
          <w:lang w:val="bs-Latn-BA"/>
        </w:rPr>
        <w:t xml:space="preserve">stanje </w:t>
      </w:r>
      <w:r w:rsidR="00985F7A">
        <w:rPr>
          <w:lang w:val="bs-Latn-BA"/>
        </w:rPr>
        <w:t>nije zasnovana n</w:t>
      </w:r>
      <w:r w:rsidR="00AF68E6">
        <w:rPr>
          <w:lang w:val="bs-Latn-BA"/>
        </w:rPr>
        <w:t>a</w:t>
      </w:r>
      <w:r w:rsidR="00985F7A">
        <w:rPr>
          <w:lang w:val="bs-Latn-BA"/>
        </w:rPr>
        <w:t xml:space="preserve"> </w:t>
      </w:r>
      <w:r w:rsidR="00AF68E6">
        <w:rPr>
          <w:lang w:val="bs-Latn-BA"/>
        </w:rPr>
        <w:t xml:space="preserve">činjenicama koje govore potpuno suprotno. </w:t>
      </w:r>
    </w:p>
    <w:p w:rsidR="00210DF7" w:rsidRDefault="00210DF7" w:rsidP="00985F7A">
      <w:pPr>
        <w:ind w:left="0" w:firstLine="720"/>
        <w:rPr>
          <w:lang w:val="bs-Latn-BA"/>
        </w:rPr>
      </w:pPr>
    </w:p>
    <w:p w:rsidR="0068403C" w:rsidRDefault="00210DF7" w:rsidP="00985F7A">
      <w:pPr>
        <w:ind w:left="0" w:firstLine="720"/>
        <w:rPr>
          <w:lang w:val="bs-Latn-BA"/>
        </w:rPr>
      </w:pPr>
      <w:r>
        <w:rPr>
          <w:lang w:val="bs-Latn-BA"/>
        </w:rPr>
        <w:t>Iz tog razloga</w:t>
      </w:r>
      <w:r w:rsidR="00DA2F7F">
        <w:rPr>
          <w:lang w:val="bs-Latn-BA"/>
        </w:rPr>
        <w:t>,</w:t>
      </w:r>
      <w:r>
        <w:rPr>
          <w:lang w:val="bs-Latn-BA"/>
        </w:rPr>
        <w:t xml:space="preserve"> u ovom uvodnom obrazloženju Budžeta kantona za 2014. godini želim da istaknem nekoliko informacija o budžetu u kontekstu ukupne politike </w:t>
      </w:r>
      <w:r w:rsidR="00DA2F7F">
        <w:rPr>
          <w:lang w:val="bs-Latn-BA"/>
        </w:rPr>
        <w:t>V</w:t>
      </w:r>
      <w:r>
        <w:rPr>
          <w:lang w:val="bs-Latn-BA"/>
        </w:rPr>
        <w:t xml:space="preserve">lade u mandatu 2010-2014. godine </w:t>
      </w:r>
      <w:r w:rsidR="0068403C">
        <w:rPr>
          <w:lang w:val="bs-Latn-BA"/>
        </w:rPr>
        <w:t>i promjenama koje je Vlada Kantona pretrpjela u krizi javnih prihoda koja traje još od 2008. godine.</w:t>
      </w:r>
    </w:p>
    <w:p w:rsidR="001B2157" w:rsidRDefault="001B2157" w:rsidP="00076C0F">
      <w:pPr>
        <w:ind w:left="0" w:firstLine="0"/>
        <w:rPr>
          <w:lang w:val="bs-Latn-BA"/>
        </w:rPr>
      </w:pPr>
    </w:p>
    <w:p w:rsidR="0068403C" w:rsidRDefault="0068403C" w:rsidP="00985F7A">
      <w:pPr>
        <w:ind w:left="0" w:firstLine="720"/>
        <w:rPr>
          <w:lang w:val="bs-Latn-BA"/>
        </w:rPr>
      </w:pPr>
      <w:r>
        <w:rPr>
          <w:lang w:val="bs-Latn-BA"/>
        </w:rPr>
        <w:t xml:space="preserve">Nakon završetka </w:t>
      </w:r>
      <w:r w:rsidR="00DA2F7F">
        <w:rPr>
          <w:lang w:val="bs-Latn-BA"/>
        </w:rPr>
        <w:t>O</w:t>
      </w:r>
      <w:r>
        <w:rPr>
          <w:lang w:val="bs-Latn-BA"/>
        </w:rPr>
        <w:t xml:space="preserve">pćih izbora iz 2006. </w:t>
      </w:r>
      <w:r w:rsidR="00DA2F7F">
        <w:rPr>
          <w:lang w:val="bs-Latn-BA"/>
        </w:rPr>
        <w:t>g</w:t>
      </w:r>
      <w:r>
        <w:rPr>
          <w:lang w:val="bs-Latn-BA"/>
        </w:rPr>
        <w:t>odine</w:t>
      </w:r>
      <w:r w:rsidR="00DA2F7F">
        <w:rPr>
          <w:lang w:val="bs-Latn-BA"/>
        </w:rPr>
        <w:t>,</w:t>
      </w:r>
      <w:r>
        <w:rPr>
          <w:lang w:val="bs-Latn-BA"/>
        </w:rPr>
        <w:t xml:space="preserve"> Vladu BPK Goraž</w:t>
      </w:r>
      <w:r w:rsidR="00FA45E1">
        <w:rPr>
          <w:lang w:val="bs-Latn-BA"/>
        </w:rPr>
        <w:t>de formirali su poslanici Stran</w:t>
      </w:r>
      <w:r>
        <w:rPr>
          <w:lang w:val="bs-Latn-BA"/>
        </w:rPr>
        <w:t>ke za BiH</w:t>
      </w:r>
      <w:r w:rsidR="00FA45E1">
        <w:rPr>
          <w:lang w:val="bs-Latn-BA"/>
        </w:rPr>
        <w:t xml:space="preserve"> (SBIH)</w:t>
      </w:r>
      <w:r>
        <w:rPr>
          <w:lang w:val="bs-Latn-BA"/>
        </w:rPr>
        <w:t xml:space="preserve"> i Stranke demokratske akcije</w:t>
      </w:r>
      <w:r w:rsidR="00FA45E1">
        <w:rPr>
          <w:lang w:val="bs-Latn-BA"/>
        </w:rPr>
        <w:t xml:space="preserve"> (SDA)</w:t>
      </w:r>
      <w:r>
        <w:rPr>
          <w:lang w:val="bs-Latn-BA"/>
        </w:rPr>
        <w:t>. Ova Skupštinska većina je usvojila Budžet kantona za 2007. god</w:t>
      </w:r>
      <w:r w:rsidR="00DA2F7F">
        <w:rPr>
          <w:lang w:val="bs-Latn-BA"/>
        </w:rPr>
        <w:t xml:space="preserve">inu u iznosu od 40.760.957 KM. </w:t>
      </w:r>
      <w:r>
        <w:rPr>
          <w:lang w:val="bs-Latn-BA"/>
        </w:rPr>
        <w:t>U ovom Budžetu planiran je primitak po osnovu grantova u iznosu od 12.500.000 KM, od čega je nen</w:t>
      </w:r>
      <w:r w:rsidR="00AF68E6">
        <w:rPr>
          <w:lang w:val="bs-Latn-BA"/>
        </w:rPr>
        <w:t>a</w:t>
      </w:r>
      <w:r>
        <w:rPr>
          <w:lang w:val="bs-Latn-BA"/>
        </w:rPr>
        <w:t>mjenski grant Vlade F</w:t>
      </w:r>
      <w:r w:rsidR="00AF68E6">
        <w:rPr>
          <w:lang w:val="bs-Latn-BA"/>
        </w:rPr>
        <w:t>ederacije</w:t>
      </w:r>
      <w:r>
        <w:rPr>
          <w:lang w:val="bs-Latn-BA"/>
        </w:rPr>
        <w:t xml:space="preserve"> BiH</w:t>
      </w:r>
      <w:r w:rsidR="00AF68E6">
        <w:rPr>
          <w:lang w:val="bs-Latn-BA"/>
        </w:rPr>
        <w:t xml:space="preserve"> planiran u iznosu </w:t>
      </w:r>
      <w:r>
        <w:rPr>
          <w:lang w:val="bs-Latn-BA"/>
        </w:rPr>
        <w:t xml:space="preserve"> 8.000.000 KM.</w:t>
      </w:r>
    </w:p>
    <w:p w:rsidR="0068403C" w:rsidRDefault="0068403C" w:rsidP="00076C0F">
      <w:pPr>
        <w:ind w:left="0" w:firstLine="0"/>
        <w:rPr>
          <w:lang w:val="bs-Latn-BA"/>
        </w:rPr>
      </w:pPr>
    </w:p>
    <w:p w:rsidR="0068403C" w:rsidRDefault="00AF68E6" w:rsidP="00985F7A">
      <w:pPr>
        <w:ind w:left="0" w:firstLine="720"/>
        <w:rPr>
          <w:lang w:val="bs-Latn-BA"/>
        </w:rPr>
      </w:pPr>
      <w:r>
        <w:rPr>
          <w:lang w:val="bs-Latn-BA"/>
        </w:rPr>
        <w:t xml:space="preserve">Ista skupštinska većina </w:t>
      </w:r>
      <w:r w:rsidR="00F44EF2">
        <w:rPr>
          <w:lang w:val="bs-Latn-BA"/>
        </w:rPr>
        <w:t xml:space="preserve">usvojila </w:t>
      </w:r>
      <w:r>
        <w:rPr>
          <w:lang w:val="bs-Latn-BA"/>
        </w:rPr>
        <w:t xml:space="preserve">je </w:t>
      </w:r>
      <w:r w:rsidR="00F44EF2">
        <w:rPr>
          <w:lang w:val="bs-Latn-BA"/>
        </w:rPr>
        <w:t>Budžet kanton</w:t>
      </w:r>
      <w:r w:rsidR="00985F7A">
        <w:rPr>
          <w:lang w:val="bs-Latn-BA"/>
        </w:rPr>
        <w:t>a</w:t>
      </w:r>
      <w:r w:rsidR="00F44EF2">
        <w:rPr>
          <w:lang w:val="bs-Latn-BA"/>
        </w:rPr>
        <w:t xml:space="preserve"> </w:t>
      </w:r>
      <w:r w:rsidR="00210DF7">
        <w:rPr>
          <w:lang w:val="bs-Latn-BA"/>
        </w:rPr>
        <w:t>za 2008. g</w:t>
      </w:r>
      <w:r>
        <w:rPr>
          <w:lang w:val="bs-Latn-BA"/>
        </w:rPr>
        <w:t xml:space="preserve">odinu </w:t>
      </w:r>
      <w:r w:rsidR="00F44EF2">
        <w:rPr>
          <w:lang w:val="bs-Latn-BA"/>
        </w:rPr>
        <w:t xml:space="preserve">u iznosu od </w:t>
      </w:r>
      <w:r w:rsidR="00F44EF2" w:rsidRPr="00985F7A">
        <w:rPr>
          <w:b/>
          <w:lang w:val="bs-Latn-BA"/>
        </w:rPr>
        <w:t>47.769.205 KM</w:t>
      </w:r>
      <w:r w:rsidR="00DA2F7F">
        <w:rPr>
          <w:b/>
          <w:lang w:val="bs-Latn-BA"/>
        </w:rPr>
        <w:t>,</w:t>
      </w:r>
      <w:r w:rsidR="00F44EF2">
        <w:rPr>
          <w:lang w:val="bs-Latn-BA"/>
        </w:rPr>
        <w:t xml:space="preserve"> od čega su tekući grantovi planirani u iznosu od </w:t>
      </w:r>
      <w:r w:rsidR="00F44EF2" w:rsidRPr="00985F7A">
        <w:rPr>
          <w:b/>
          <w:lang w:val="bs-Latn-BA"/>
        </w:rPr>
        <w:t>16.000.000 KM</w:t>
      </w:r>
      <w:r w:rsidR="00F44EF2">
        <w:rPr>
          <w:lang w:val="bs-Latn-BA"/>
        </w:rPr>
        <w:t>.</w:t>
      </w:r>
    </w:p>
    <w:p w:rsidR="00F44EF2" w:rsidRDefault="00F44EF2" w:rsidP="00076C0F">
      <w:pPr>
        <w:ind w:left="0" w:firstLine="0"/>
        <w:rPr>
          <w:lang w:val="bs-Latn-BA"/>
        </w:rPr>
      </w:pPr>
    </w:p>
    <w:p w:rsidR="004D7B42" w:rsidRDefault="00F44EF2" w:rsidP="00985F7A">
      <w:pPr>
        <w:ind w:left="0" w:firstLine="720"/>
        <w:rPr>
          <w:lang w:val="bs-Latn-BA"/>
        </w:rPr>
      </w:pPr>
      <w:r>
        <w:rPr>
          <w:lang w:val="bs-Latn-BA"/>
        </w:rPr>
        <w:t>Brojni su razlozi zbog čega je došlo do ovako velikog povećanj</w:t>
      </w:r>
      <w:r w:rsidR="00985F7A">
        <w:rPr>
          <w:lang w:val="bs-Latn-BA"/>
        </w:rPr>
        <w:t xml:space="preserve">a </w:t>
      </w:r>
      <w:r w:rsidR="00DA2F7F">
        <w:rPr>
          <w:lang w:val="bs-Latn-BA"/>
        </w:rPr>
        <w:t>B</w:t>
      </w:r>
      <w:r>
        <w:rPr>
          <w:lang w:val="bs-Latn-BA"/>
        </w:rPr>
        <w:t>udžeta u 2008. godini i to baš u vrijeme kada su svi nagovještavali posljedice svjetske finansijske  krize iz septembra 2007. godine</w:t>
      </w:r>
      <w:r w:rsidR="004D7B42">
        <w:rPr>
          <w:lang w:val="bs-Latn-BA"/>
        </w:rPr>
        <w:t>. P</w:t>
      </w:r>
      <w:r>
        <w:rPr>
          <w:lang w:val="bs-Latn-BA"/>
        </w:rPr>
        <w:t>ojedinačno</w:t>
      </w:r>
      <w:r w:rsidR="00DA2F7F">
        <w:rPr>
          <w:lang w:val="bs-Latn-BA"/>
        </w:rPr>
        <w:t xml:space="preserve">, </w:t>
      </w:r>
      <w:r>
        <w:rPr>
          <w:lang w:val="bs-Latn-BA"/>
        </w:rPr>
        <w:t xml:space="preserve"> najveći razlog jeste povećanje troškova za plate zaposlenih za više od 4,1 milion KM. </w:t>
      </w:r>
      <w:r w:rsidR="00083059">
        <w:rPr>
          <w:lang w:val="bs-Latn-BA"/>
        </w:rPr>
        <w:t xml:space="preserve"> Ovo povećanje plata je prouzrokovalo da se polovina povećanja prihoda</w:t>
      </w:r>
      <w:r w:rsidR="004D7B42">
        <w:rPr>
          <w:lang w:val="bs-Latn-BA"/>
        </w:rPr>
        <w:t xml:space="preserve">  </w:t>
      </w:r>
      <w:r w:rsidR="00DA2F7F">
        <w:rPr>
          <w:lang w:val="bs-Latn-BA"/>
        </w:rPr>
        <w:t>K</w:t>
      </w:r>
      <w:r w:rsidR="004D7B42">
        <w:rPr>
          <w:lang w:val="bs-Latn-BA"/>
        </w:rPr>
        <w:t xml:space="preserve">antona od indirektnih poreza </w:t>
      </w:r>
      <w:r w:rsidR="00AF68E6">
        <w:rPr>
          <w:lang w:val="bs-Latn-BA"/>
        </w:rPr>
        <w:t>(PDV)</w:t>
      </w:r>
      <w:r w:rsidR="00DA2F7F">
        <w:rPr>
          <w:lang w:val="bs-Latn-BA"/>
        </w:rPr>
        <w:t>,</w:t>
      </w:r>
      <w:r w:rsidR="00AF68E6">
        <w:rPr>
          <w:lang w:val="bs-Latn-BA"/>
        </w:rPr>
        <w:t xml:space="preserve"> </w:t>
      </w:r>
      <w:r w:rsidR="00210DF7">
        <w:rPr>
          <w:lang w:val="bs-Latn-BA"/>
        </w:rPr>
        <w:t>što je rezultat</w:t>
      </w:r>
      <w:r w:rsidR="004D7B42">
        <w:rPr>
          <w:lang w:val="bs-Latn-BA"/>
        </w:rPr>
        <w:t xml:space="preserve"> reforme sistema indirektnog oporezivanja</w:t>
      </w:r>
      <w:r w:rsidR="00DA2F7F">
        <w:rPr>
          <w:lang w:val="bs-Latn-BA"/>
        </w:rPr>
        <w:t>,</w:t>
      </w:r>
      <w:r w:rsidR="004D7B42">
        <w:rPr>
          <w:lang w:val="bs-Latn-BA"/>
        </w:rPr>
        <w:t xml:space="preserve"> usmjere na povećanje troškova zaposlenih u institucijama koje se finansiraju iz Budžeta Kantona.</w:t>
      </w:r>
    </w:p>
    <w:p w:rsidR="00083059" w:rsidRDefault="00083059" w:rsidP="00076C0F">
      <w:pPr>
        <w:ind w:left="0" w:firstLine="0"/>
        <w:rPr>
          <w:lang w:val="bs-Latn-BA"/>
        </w:rPr>
      </w:pPr>
    </w:p>
    <w:p w:rsidR="00083059" w:rsidRDefault="00AF68E6" w:rsidP="004D7B42">
      <w:pPr>
        <w:ind w:left="0" w:firstLine="720"/>
        <w:rPr>
          <w:lang w:val="bs-Latn-BA"/>
        </w:rPr>
      </w:pPr>
      <w:r>
        <w:rPr>
          <w:lang w:val="bs-Latn-BA"/>
        </w:rPr>
        <w:t xml:space="preserve">Kako se </w:t>
      </w:r>
      <w:r w:rsidR="00083059">
        <w:rPr>
          <w:lang w:val="bs-Latn-BA"/>
        </w:rPr>
        <w:t>Budžet sa 16 miliona KM granta iz F</w:t>
      </w:r>
      <w:r w:rsidR="004D7B42">
        <w:rPr>
          <w:lang w:val="bs-Latn-BA"/>
        </w:rPr>
        <w:t>ederacije</w:t>
      </w:r>
      <w:r w:rsidR="00083059">
        <w:rPr>
          <w:lang w:val="bs-Latn-BA"/>
        </w:rPr>
        <w:t xml:space="preserve"> BiH nije ostvario</w:t>
      </w:r>
      <w:r>
        <w:rPr>
          <w:lang w:val="bs-Latn-BA"/>
        </w:rPr>
        <w:t>,</w:t>
      </w:r>
      <w:r w:rsidR="00083059">
        <w:rPr>
          <w:lang w:val="bs-Latn-BA"/>
        </w:rPr>
        <w:t xml:space="preserve"> </w:t>
      </w:r>
      <w:r w:rsidR="00210DF7">
        <w:rPr>
          <w:lang w:val="bs-Latn-BA"/>
        </w:rPr>
        <w:t xml:space="preserve">01. decembra 2008. godine </w:t>
      </w:r>
      <w:r w:rsidR="00083059">
        <w:rPr>
          <w:lang w:val="bs-Latn-BA"/>
        </w:rPr>
        <w:t xml:space="preserve">SDP je ušao u manjinsku vladu </w:t>
      </w:r>
      <w:r w:rsidR="00DA2F7F">
        <w:rPr>
          <w:lang w:val="bs-Latn-BA"/>
        </w:rPr>
        <w:t>K</w:t>
      </w:r>
      <w:r w:rsidR="004D7B42">
        <w:rPr>
          <w:lang w:val="bs-Latn-BA"/>
        </w:rPr>
        <w:t xml:space="preserve">antona </w:t>
      </w:r>
      <w:r w:rsidR="00083059">
        <w:rPr>
          <w:lang w:val="bs-Latn-BA"/>
        </w:rPr>
        <w:t>sa ciljem da se sprije</w:t>
      </w:r>
      <w:r w:rsidR="00DA2F7F">
        <w:rPr>
          <w:lang w:val="bs-Latn-BA"/>
        </w:rPr>
        <w:t>č</w:t>
      </w:r>
      <w:r w:rsidR="00083059">
        <w:rPr>
          <w:lang w:val="bs-Latn-BA"/>
        </w:rPr>
        <w:t xml:space="preserve">i potpuni kolaps </w:t>
      </w:r>
      <w:r>
        <w:rPr>
          <w:lang w:val="bs-Latn-BA"/>
        </w:rPr>
        <w:t xml:space="preserve">čemu je vodila </w:t>
      </w:r>
      <w:r w:rsidR="00083059">
        <w:rPr>
          <w:lang w:val="bs-Latn-BA"/>
        </w:rPr>
        <w:t>tadašnja politika.</w:t>
      </w:r>
    </w:p>
    <w:p w:rsidR="00083059" w:rsidRDefault="00083059" w:rsidP="00076C0F">
      <w:pPr>
        <w:ind w:left="0" w:firstLine="0"/>
        <w:rPr>
          <w:lang w:val="bs-Latn-BA"/>
        </w:rPr>
      </w:pPr>
    </w:p>
    <w:p w:rsidR="004D7B42" w:rsidRDefault="00083059" w:rsidP="004D7B42">
      <w:pPr>
        <w:ind w:left="0" w:firstLine="720"/>
        <w:rPr>
          <w:lang w:val="bs-Latn-BA"/>
        </w:rPr>
      </w:pPr>
      <w:r>
        <w:rPr>
          <w:lang w:val="bs-Latn-BA"/>
        </w:rPr>
        <w:t xml:space="preserve">Budžet </w:t>
      </w:r>
      <w:r w:rsidR="00DA2F7F">
        <w:rPr>
          <w:lang w:val="bs-Latn-BA"/>
        </w:rPr>
        <w:t>K</w:t>
      </w:r>
      <w:r>
        <w:rPr>
          <w:lang w:val="bs-Latn-BA"/>
        </w:rPr>
        <w:t xml:space="preserve">antona za 2009. godinu po prvi put </w:t>
      </w:r>
      <w:r w:rsidR="00AF68E6">
        <w:rPr>
          <w:lang w:val="bs-Latn-BA"/>
        </w:rPr>
        <w:t xml:space="preserve">djelimično </w:t>
      </w:r>
      <w:r>
        <w:rPr>
          <w:lang w:val="bs-Latn-BA"/>
        </w:rPr>
        <w:t xml:space="preserve">odražava politiku SDP-a na način koliko je bilo moguće postići kompromis sa većinskom SDA </w:t>
      </w:r>
      <w:r w:rsidR="00DA2F7F">
        <w:rPr>
          <w:lang w:val="bs-Latn-BA"/>
        </w:rPr>
        <w:t>V</w:t>
      </w:r>
      <w:r>
        <w:rPr>
          <w:lang w:val="bs-Latn-BA"/>
        </w:rPr>
        <w:t>ladom</w:t>
      </w:r>
      <w:r w:rsidR="00DA2F7F">
        <w:rPr>
          <w:lang w:val="bs-Latn-BA"/>
        </w:rPr>
        <w:t>,</w:t>
      </w:r>
      <w:r>
        <w:rPr>
          <w:lang w:val="bs-Latn-BA"/>
        </w:rPr>
        <w:t xml:space="preserve"> u čijem resoru je bilo i </w:t>
      </w:r>
      <w:r w:rsidR="00DA2F7F">
        <w:rPr>
          <w:lang w:val="bs-Latn-BA"/>
        </w:rPr>
        <w:t>M</w:t>
      </w:r>
      <w:r>
        <w:rPr>
          <w:lang w:val="bs-Latn-BA"/>
        </w:rPr>
        <w:t>inistarstvo za finansije</w:t>
      </w:r>
      <w:r w:rsidR="004D7B42">
        <w:rPr>
          <w:lang w:val="bs-Latn-BA"/>
        </w:rPr>
        <w:t>.</w:t>
      </w:r>
    </w:p>
    <w:p w:rsidR="00083059" w:rsidRDefault="00083059" w:rsidP="00076C0F">
      <w:pPr>
        <w:ind w:left="0" w:firstLine="0"/>
        <w:rPr>
          <w:lang w:val="bs-Latn-BA"/>
        </w:rPr>
      </w:pPr>
    </w:p>
    <w:p w:rsidR="00083059" w:rsidRDefault="00083059" w:rsidP="004D7B42">
      <w:pPr>
        <w:ind w:left="0" w:firstLine="720"/>
        <w:rPr>
          <w:lang w:val="bs-Latn-BA"/>
        </w:rPr>
      </w:pPr>
      <w:r>
        <w:rPr>
          <w:lang w:val="bs-Latn-BA"/>
        </w:rPr>
        <w:t xml:space="preserve">U odnosu na </w:t>
      </w:r>
      <w:r w:rsidR="008702ED">
        <w:rPr>
          <w:lang w:val="bs-Latn-BA"/>
        </w:rPr>
        <w:t>2008. godinu, Budžet k</w:t>
      </w:r>
      <w:r w:rsidR="00DA2F7F">
        <w:rPr>
          <w:lang w:val="bs-Latn-BA"/>
        </w:rPr>
        <w:t xml:space="preserve">antona za 2009. godinu </w:t>
      </w:r>
      <w:r w:rsidR="001F566B">
        <w:rPr>
          <w:lang w:val="bs-Latn-BA"/>
        </w:rPr>
        <w:t>nije preživio značajnije promjene u strukturi prihoda izuzev što je smanjen nerealan iznos tekućih grantova iz Budžeta F</w:t>
      </w:r>
      <w:r w:rsidR="00AF68E6">
        <w:rPr>
          <w:lang w:val="bs-Latn-BA"/>
        </w:rPr>
        <w:t>ederacije</w:t>
      </w:r>
      <w:r w:rsidR="001F566B">
        <w:rPr>
          <w:lang w:val="bs-Latn-BA"/>
        </w:rPr>
        <w:t xml:space="preserve"> BiH sa 16 na 6 miliona KM.</w:t>
      </w:r>
    </w:p>
    <w:p w:rsidR="001F566B" w:rsidRDefault="001F566B" w:rsidP="00076C0F">
      <w:pPr>
        <w:ind w:left="0" w:firstLine="0"/>
        <w:rPr>
          <w:lang w:val="bs-Latn-BA"/>
        </w:rPr>
      </w:pPr>
    </w:p>
    <w:p w:rsidR="001F566B" w:rsidRDefault="001F566B" w:rsidP="004D7B42">
      <w:pPr>
        <w:ind w:left="0" w:firstLine="720"/>
        <w:rPr>
          <w:lang w:val="bs-Latn-BA"/>
        </w:rPr>
      </w:pPr>
      <w:r>
        <w:rPr>
          <w:lang w:val="bs-Latn-BA"/>
        </w:rPr>
        <w:t>Kao što se vidi iz tabele</w:t>
      </w:r>
      <w:r w:rsidR="004D7B42">
        <w:rPr>
          <w:lang w:val="bs-Latn-BA"/>
        </w:rPr>
        <w:t xml:space="preserve"> koja se nalazi u prilogu ovog uvodnog obrazloženja</w:t>
      </w:r>
      <w:r>
        <w:rPr>
          <w:lang w:val="bs-Latn-BA"/>
        </w:rPr>
        <w:t>, u 2009. godini sve kategorije budžetskih rashoda su podjednako snosile teret smanjenja budžeta sa 4</w:t>
      </w:r>
      <w:r w:rsidR="00DA2F7F">
        <w:rPr>
          <w:lang w:val="bs-Latn-BA"/>
        </w:rPr>
        <w:t xml:space="preserve">7 miliona KM u 2008. godini na </w:t>
      </w:r>
      <w:r>
        <w:rPr>
          <w:lang w:val="bs-Latn-BA"/>
        </w:rPr>
        <w:t>39 miliona KM</w:t>
      </w:r>
      <w:r w:rsidR="004D7B42">
        <w:rPr>
          <w:lang w:val="bs-Latn-BA"/>
        </w:rPr>
        <w:t xml:space="preserve"> u 2009. godini</w:t>
      </w:r>
      <w:r>
        <w:rPr>
          <w:lang w:val="bs-Latn-BA"/>
        </w:rPr>
        <w:t xml:space="preserve">. Planirana </w:t>
      </w:r>
      <w:r w:rsidR="00DA2F7F">
        <w:rPr>
          <w:lang w:val="bs-Latn-BA"/>
        </w:rPr>
        <w:t>i</w:t>
      </w:r>
      <w:r>
        <w:rPr>
          <w:lang w:val="bs-Latn-BA"/>
        </w:rPr>
        <w:t>zdvajanja za plate su smanjen</w:t>
      </w:r>
      <w:r w:rsidR="00DA2F7F">
        <w:rPr>
          <w:lang w:val="bs-Latn-BA"/>
        </w:rPr>
        <w:t>a</w:t>
      </w:r>
      <w:r>
        <w:rPr>
          <w:lang w:val="bs-Latn-BA"/>
        </w:rPr>
        <w:t xml:space="preserve"> za 1,5 miliona KM, tekući transferi za 2,7 miliona KM</w:t>
      </w:r>
      <w:r w:rsidR="00DA2F7F">
        <w:rPr>
          <w:lang w:val="bs-Latn-BA"/>
        </w:rPr>
        <w:t>,</w:t>
      </w:r>
      <w:r>
        <w:rPr>
          <w:lang w:val="bs-Latn-BA"/>
        </w:rPr>
        <w:t xml:space="preserve"> a smanjenjem nisu obuhvaćena jedino sredstva nam</w:t>
      </w:r>
      <w:r w:rsidR="00DA2F7F">
        <w:rPr>
          <w:lang w:val="bs-Latn-BA"/>
        </w:rPr>
        <w:t>i</w:t>
      </w:r>
      <w:r>
        <w:rPr>
          <w:lang w:val="bs-Latn-BA"/>
        </w:rPr>
        <w:t>jenjena za razvoj.</w:t>
      </w:r>
    </w:p>
    <w:p w:rsidR="00F569CA" w:rsidRDefault="00F569CA" w:rsidP="00076C0F">
      <w:pPr>
        <w:ind w:left="0" w:firstLine="0"/>
        <w:rPr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DA2F7F" w:rsidRDefault="00DA2F7F" w:rsidP="008702ED">
      <w:pPr>
        <w:ind w:left="1418" w:right="1409" w:firstLine="0"/>
        <w:rPr>
          <w:b/>
          <w:i/>
          <w:lang w:val="bs-Latn-BA"/>
        </w:rPr>
      </w:pPr>
    </w:p>
    <w:p w:rsidR="0044773D" w:rsidRPr="00405879" w:rsidRDefault="0044773D" w:rsidP="008702ED">
      <w:pPr>
        <w:ind w:left="1418" w:right="1409" w:firstLine="0"/>
        <w:rPr>
          <w:i/>
          <w:lang w:val="bs-Latn-BA"/>
        </w:rPr>
      </w:pPr>
      <w:r w:rsidRPr="00405879">
        <w:rPr>
          <w:b/>
          <w:i/>
          <w:lang w:val="bs-Latn-BA"/>
        </w:rPr>
        <w:lastRenderedPageBreak/>
        <w:t>Grafikon:</w:t>
      </w:r>
      <w:r w:rsidRPr="00405879">
        <w:rPr>
          <w:i/>
          <w:lang w:val="bs-Latn-BA"/>
        </w:rPr>
        <w:t xml:space="preserve"> Rast ukupnih budžetskih rashoda i vlastitih prihoda </w:t>
      </w:r>
      <w:r w:rsidR="00DA2F7F">
        <w:rPr>
          <w:i/>
          <w:lang w:val="bs-Latn-BA"/>
        </w:rPr>
        <w:t>K</w:t>
      </w:r>
      <w:r w:rsidRPr="00405879">
        <w:rPr>
          <w:i/>
          <w:lang w:val="bs-Latn-BA"/>
        </w:rPr>
        <w:t>anton</w:t>
      </w:r>
      <w:r w:rsidR="00DA2F7F">
        <w:rPr>
          <w:i/>
          <w:lang w:val="bs-Latn-BA"/>
        </w:rPr>
        <w:t xml:space="preserve">a </w:t>
      </w:r>
      <w:r w:rsidRPr="00405879">
        <w:rPr>
          <w:i/>
          <w:lang w:val="bs-Latn-BA"/>
        </w:rPr>
        <w:t xml:space="preserve"> (poreznih i neporeznih prihoda) u KM </w:t>
      </w:r>
    </w:p>
    <w:p w:rsidR="00592337" w:rsidRDefault="004B3E90" w:rsidP="00592337">
      <w:pPr>
        <w:ind w:left="0" w:firstLine="0"/>
        <w:jc w:val="center"/>
        <w:rPr>
          <w:lang w:val="bs-Latn-BA"/>
        </w:rPr>
      </w:pPr>
      <w:r w:rsidRPr="004B3E90">
        <w:rPr>
          <w:noProof/>
        </w:rPr>
        <w:drawing>
          <wp:inline distT="0" distB="0" distL="0" distR="0">
            <wp:extent cx="4152900" cy="2247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7C34" w:rsidRDefault="00777C34" w:rsidP="00076C0F">
      <w:pPr>
        <w:ind w:left="0" w:firstLine="0"/>
        <w:rPr>
          <w:lang w:val="bs-Latn-BA"/>
        </w:rPr>
      </w:pPr>
    </w:p>
    <w:p w:rsidR="00592337" w:rsidRDefault="00592337" w:rsidP="0044773D">
      <w:pPr>
        <w:ind w:left="0" w:firstLine="720"/>
        <w:rPr>
          <w:lang w:val="bs-Latn-BA"/>
        </w:rPr>
      </w:pPr>
      <w:r>
        <w:rPr>
          <w:lang w:val="bs-Latn-BA"/>
        </w:rPr>
        <w:t>Od 2011. godine Vlada kantona nastoji da smanji debalans između vlastitih prih</w:t>
      </w:r>
      <w:r w:rsidR="00D154B8">
        <w:rPr>
          <w:lang w:val="bs-Latn-BA"/>
        </w:rPr>
        <w:t>oda i ukupnih troškova budžeta, a grant iz budžeta F</w:t>
      </w:r>
      <w:r w:rsidR="0044773D">
        <w:rPr>
          <w:lang w:val="bs-Latn-BA"/>
        </w:rPr>
        <w:t>ederacije</w:t>
      </w:r>
      <w:r w:rsidR="00D154B8">
        <w:rPr>
          <w:lang w:val="bs-Latn-BA"/>
        </w:rPr>
        <w:t xml:space="preserve"> BiH je planiran na nivou daleko manjem nego što je to bio slučaj u svim vladama kojima je SDP bio opozicija.</w:t>
      </w:r>
      <w:r w:rsidR="00210DF7">
        <w:rPr>
          <w:lang w:val="bs-Latn-BA"/>
        </w:rPr>
        <w:t xml:space="preserve"> </w:t>
      </w:r>
    </w:p>
    <w:p w:rsidR="00D154B8" w:rsidRDefault="00D154B8" w:rsidP="00076C0F">
      <w:pPr>
        <w:ind w:left="0" w:firstLine="0"/>
        <w:rPr>
          <w:lang w:val="bs-Latn-BA"/>
        </w:rPr>
      </w:pPr>
    </w:p>
    <w:p w:rsidR="00D154B8" w:rsidRDefault="00D154B8" w:rsidP="0044773D">
      <w:pPr>
        <w:ind w:left="0" w:firstLine="720"/>
        <w:rPr>
          <w:lang w:val="bs-Latn-BA"/>
        </w:rPr>
      </w:pPr>
      <w:r>
        <w:rPr>
          <w:lang w:val="bs-Latn-BA"/>
        </w:rPr>
        <w:t xml:space="preserve">Prihodi od poreza su </w:t>
      </w:r>
      <w:r w:rsidR="00FA45E1">
        <w:rPr>
          <w:lang w:val="bs-Latn-BA"/>
        </w:rPr>
        <w:t xml:space="preserve">odnosu na 2013. godinu smanjeni za 12,3 %, </w:t>
      </w:r>
      <w:r>
        <w:rPr>
          <w:lang w:val="bs-Latn-BA"/>
        </w:rPr>
        <w:t xml:space="preserve">i </w:t>
      </w:r>
      <w:r w:rsidR="00FA45E1">
        <w:rPr>
          <w:lang w:val="bs-Latn-BA"/>
        </w:rPr>
        <w:t xml:space="preserve">nalaze se na nivou koji je približan nivou iz 2007. godine,  iako </w:t>
      </w:r>
      <w:r>
        <w:rPr>
          <w:lang w:val="bs-Latn-BA"/>
        </w:rPr>
        <w:t xml:space="preserve">postoji sasvim </w:t>
      </w:r>
      <w:r w:rsidR="00FA45E1">
        <w:rPr>
          <w:lang w:val="bs-Latn-BA"/>
        </w:rPr>
        <w:t xml:space="preserve">opravdana mogućnost </w:t>
      </w:r>
      <w:r>
        <w:rPr>
          <w:lang w:val="bs-Latn-BA"/>
        </w:rPr>
        <w:t>povećanja prihoda od poreza, imajući u vidu povećanje broja zaposlenih, prosječnih plaća, poreza na imovinu i cestovnih naknada.</w:t>
      </w:r>
    </w:p>
    <w:p w:rsidR="0044773D" w:rsidRDefault="0044773D" w:rsidP="00076C0F">
      <w:pPr>
        <w:ind w:left="0" w:firstLine="0"/>
        <w:rPr>
          <w:lang w:val="bs-Latn-BA"/>
        </w:rPr>
      </w:pPr>
    </w:p>
    <w:p w:rsidR="0044773D" w:rsidRDefault="0044773D" w:rsidP="008702ED">
      <w:pPr>
        <w:ind w:left="1418" w:right="1409" w:firstLine="0"/>
        <w:rPr>
          <w:lang w:val="bs-Latn-BA"/>
        </w:rPr>
      </w:pPr>
      <w:r w:rsidRPr="0044773D">
        <w:rPr>
          <w:b/>
          <w:lang w:val="bs-Latn-BA"/>
        </w:rPr>
        <w:t>Grafikon:</w:t>
      </w:r>
      <w:r>
        <w:rPr>
          <w:lang w:val="bs-Latn-BA"/>
        </w:rPr>
        <w:t xml:space="preserve"> Visina planiranih prihoda od poreza u Budžetu BPK Goražde za period od 2007 do 2014. </w:t>
      </w:r>
      <w:r w:rsidR="00A508AD">
        <w:rPr>
          <w:lang w:val="bs-Latn-BA"/>
        </w:rPr>
        <w:t>g</w:t>
      </w:r>
      <w:r>
        <w:rPr>
          <w:lang w:val="bs-Latn-BA"/>
        </w:rPr>
        <w:t xml:space="preserve">odine po godinama u KM </w:t>
      </w:r>
    </w:p>
    <w:p w:rsidR="004B3E90" w:rsidRDefault="004B3E90" w:rsidP="008702ED">
      <w:pPr>
        <w:ind w:left="0" w:right="-8" w:firstLine="0"/>
        <w:jc w:val="center"/>
        <w:rPr>
          <w:lang w:val="bs-Latn-BA"/>
        </w:rPr>
      </w:pPr>
      <w:r w:rsidRPr="004B3E90">
        <w:rPr>
          <w:noProof/>
        </w:rPr>
        <w:drawing>
          <wp:inline distT="0" distB="0" distL="0" distR="0">
            <wp:extent cx="3933825" cy="2200275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3E90" w:rsidRDefault="004B3E90" w:rsidP="0044773D">
      <w:pPr>
        <w:ind w:left="851" w:right="900" w:firstLine="0"/>
        <w:rPr>
          <w:lang w:val="bs-Latn-BA"/>
        </w:rPr>
      </w:pPr>
    </w:p>
    <w:p w:rsidR="00D154B8" w:rsidRDefault="00D154B8" w:rsidP="00D154B8">
      <w:pPr>
        <w:ind w:left="0" w:firstLine="0"/>
        <w:jc w:val="center"/>
        <w:rPr>
          <w:lang w:val="bs-Latn-BA"/>
        </w:rPr>
      </w:pPr>
    </w:p>
    <w:p w:rsidR="00A21DBC" w:rsidRDefault="00A21DBC" w:rsidP="00D154B8">
      <w:pPr>
        <w:ind w:left="0" w:firstLine="0"/>
        <w:jc w:val="center"/>
        <w:rPr>
          <w:lang w:val="bs-Latn-BA"/>
        </w:rPr>
      </w:pPr>
    </w:p>
    <w:p w:rsidR="00A21DBC" w:rsidRDefault="00A21DBC" w:rsidP="00D154B8">
      <w:pPr>
        <w:ind w:left="0" w:firstLine="0"/>
        <w:jc w:val="center"/>
        <w:rPr>
          <w:lang w:val="bs-Latn-BA"/>
        </w:rPr>
      </w:pPr>
    </w:p>
    <w:p w:rsidR="00A21DBC" w:rsidRDefault="00A21DBC" w:rsidP="00D154B8">
      <w:pPr>
        <w:ind w:left="0" w:firstLine="0"/>
        <w:jc w:val="center"/>
        <w:rPr>
          <w:lang w:val="bs-Latn-BA"/>
        </w:rPr>
      </w:pPr>
    </w:p>
    <w:p w:rsidR="00AF68E6" w:rsidRDefault="00AF68E6" w:rsidP="0044773D">
      <w:pPr>
        <w:ind w:left="0" w:firstLine="720"/>
        <w:rPr>
          <w:lang w:val="bs-Latn-BA"/>
        </w:rPr>
      </w:pPr>
    </w:p>
    <w:p w:rsidR="00A21DBC" w:rsidRDefault="00A21DBC" w:rsidP="0044773D">
      <w:pPr>
        <w:ind w:left="0" w:firstLine="720"/>
        <w:rPr>
          <w:lang w:val="bs-Latn-BA"/>
        </w:rPr>
      </w:pPr>
    </w:p>
    <w:p w:rsidR="00A21DBC" w:rsidRDefault="00A21DBC" w:rsidP="0044773D">
      <w:pPr>
        <w:ind w:left="0" w:firstLine="720"/>
        <w:rPr>
          <w:lang w:val="bs-Latn-BA"/>
        </w:rPr>
      </w:pPr>
    </w:p>
    <w:p w:rsidR="00A21DBC" w:rsidRDefault="00A21DBC" w:rsidP="0044773D">
      <w:pPr>
        <w:ind w:left="0" w:firstLine="720"/>
        <w:rPr>
          <w:lang w:val="bs-Latn-BA"/>
        </w:rPr>
      </w:pPr>
    </w:p>
    <w:p w:rsidR="008702ED" w:rsidRDefault="008702ED" w:rsidP="0044773D">
      <w:pPr>
        <w:ind w:left="0" w:firstLine="720"/>
        <w:rPr>
          <w:lang w:val="bs-Latn-BA"/>
        </w:rPr>
      </w:pPr>
    </w:p>
    <w:p w:rsidR="008702ED" w:rsidRDefault="008702ED" w:rsidP="0044773D">
      <w:pPr>
        <w:ind w:left="0" w:firstLine="720"/>
        <w:rPr>
          <w:lang w:val="bs-Latn-BA"/>
        </w:rPr>
      </w:pPr>
    </w:p>
    <w:p w:rsidR="00AF68E6" w:rsidRDefault="00AF68E6" w:rsidP="008702ED">
      <w:pPr>
        <w:tabs>
          <w:tab w:val="left" w:pos="7655"/>
        </w:tabs>
        <w:ind w:left="1418" w:right="1409" w:firstLine="0"/>
        <w:rPr>
          <w:lang w:val="bs-Latn-BA"/>
        </w:rPr>
      </w:pPr>
      <w:r w:rsidRPr="0044773D">
        <w:rPr>
          <w:b/>
          <w:lang w:val="bs-Latn-BA"/>
        </w:rPr>
        <w:lastRenderedPageBreak/>
        <w:t>Grafikon:</w:t>
      </w:r>
      <w:r>
        <w:rPr>
          <w:lang w:val="bs-Latn-BA"/>
        </w:rPr>
        <w:t xml:space="preserve"> Visina planiranih neporeznih prihoda u Budžetu BPK Goražde za period od 2007 do 2014. godine po godinama u KM </w:t>
      </w:r>
    </w:p>
    <w:p w:rsidR="004B3E90" w:rsidRDefault="004B3E90" w:rsidP="008702ED">
      <w:pPr>
        <w:tabs>
          <w:tab w:val="left" w:pos="0"/>
        </w:tabs>
        <w:ind w:left="0" w:right="-8" w:firstLine="0"/>
        <w:jc w:val="center"/>
        <w:rPr>
          <w:lang w:val="bs-Latn-BA"/>
        </w:rPr>
      </w:pPr>
      <w:r w:rsidRPr="004B3E90">
        <w:rPr>
          <w:noProof/>
        </w:rPr>
        <w:drawing>
          <wp:inline distT="0" distB="0" distL="0" distR="0">
            <wp:extent cx="4000500" cy="2400300"/>
            <wp:effectExtent l="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3E90" w:rsidRDefault="004B3E90" w:rsidP="00AF68E6">
      <w:pPr>
        <w:ind w:left="851" w:right="900" w:firstLine="0"/>
        <w:rPr>
          <w:lang w:val="bs-Latn-BA"/>
        </w:rPr>
      </w:pPr>
    </w:p>
    <w:p w:rsidR="00210DF7" w:rsidRDefault="00210DF7" w:rsidP="00210DF7">
      <w:pPr>
        <w:ind w:left="0" w:firstLine="720"/>
        <w:rPr>
          <w:lang w:val="bs-Latn-BA"/>
        </w:rPr>
      </w:pPr>
      <w:r>
        <w:rPr>
          <w:lang w:val="bs-Latn-BA"/>
        </w:rPr>
        <w:t>U dijelu neporeznih prihoda koji po kantonalnim i federalnim zakonima pripadaju Budžetu Bosansko-podrinjskog kantona Vlada kantona nastoji prvenstveno smanjiti poreska i parafiskalna opterećenja, kao što je to u slučaju Zakona o šumama i Zakona o kantonaln</w:t>
      </w:r>
      <w:r w:rsidR="00405879">
        <w:rPr>
          <w:lang w:val="bs-Latn-BA"/>
        </w:rPr>
        <w:t>im taksama gdje su znač</w:t>
      </w:r>
      <w:r>
        <w:rPr>
          <w:lang w:val="bs-Latn-BA"/>
        </w:rPr>
        <w:t>ajno smanjena opterećenja za privredni sektor. Ipak</w:t>
      </w:r>
      <w:r w:rsidR="00A508AD">
        <w:rPr>
          <w:lang w:val="bs-Latn-BA"/>
        </w:rPr>
        <w:t>,</w:t>
      </w:r>
      <w:r>
        <w:rPr>
          <w:lang w:val="bs-Latn-BA"/>
        </w:rPr>
        <w:t xml:space="preserve"> visina prihoda po osnovu naknada je u stalnom rastu prvenstveno zahvaljujući ekonomskim aktivnostima izvozno orjentisanog sektora i novom zapošljavanju. </w:t>
      </w:r>
      <w:r w:rsidR="00FA45E1">
        <w:rPr>
          <w:lang w:val="bs-Latn-BA"/>
        </w:rPr>
        <w:t>Neporeski prihod</w:t>
      </w:r>
      <w:r w:rsidR="00A508AD">
        <w:rPr>
          <w:lang w:val="bs-Latn-BA"/>
        </w:rPr>
        <w:t>i</w:t>
      </w:r>
      <w:r w:rsidR="00FA45E1">
        <w:rPr>
          <w:lang w:val="bs-Latn-BA"/>
        </w:rPr>
        <w:t xml:space="preserve"> u 2014. godini planirani su u iznosu od 4.102.654 KM što predstavlja povećanje od 1.165.762 KM u odnosu na 2013. godinu.</w:t>
      </w:r>
    </w:p>
    <w:p w:rsidR="000331D9" w:rsidRDefault="000331D9" w:rsidP="00076C0F">
      <w:pPr>
        <w:ind w:left="0" w:firstLine="0"/>
        <w:rPr>
          <w:lang w:val="bs-Latn-BA"/>
        </w:rPr>
      </w:pPr>
    </w:p>
    <w:p w:rsidR="00AF68E6" w:rsidRDefault="00AF68E6" w:rsidP="00A21DBC">
      <w:pPr>
        <w:ind w:left="1418" w:right="1409" w:firstLine="0"/>
        <w:rPr>
          <w:lang w:val="bs-Latn-BA"/>
        </w:rPr>
      </w:pPr>
      <w:r w:rsidRPr="0044773D">
        <w:rPr>
          <w:b/>
          <w:lang w:val="bs-Latn-BA"/>
        </w:rPr>
        <w:t>Grafikon:</w:t>
      </w:r>
      <w:r>
        <w:rPr>
          <w:lang w:val="bs-Latn-BA"/>
        </w:rPr>
        <w:t xml:space="preserve"> Visina planiranih prihoda po osnovu granta iz budžeta Federacije BiH </w:t>
      </w:r>
      <w:r w:rsidR="00FA45E1">
        <w:rPr>
          <w:lang w:val="bs-Latn-BA"/>
        </w:rPr>
        <w:t xml:space="preserve">(redovni transfer) </w:t>
      </w:r>
      <w:r>
        <w:rPr>
          <w:lang w:val="bs-Latn-BA"/>
        </w:rPr>
        <w:t xml:space="preserve">za period od 2007 do 2014. godine po godinama u KM </w:t>
      </w:r>
    </w:p>
    <w:p w:rsidR="004B3E90" w:rsidRDefault="004B3E90" w:rsidP="00A21DBC">
      <w:pPr>
        <w:ind w:left="0" w:right="-8" w:firstLine="0"/>
        <w:jc w:val="center"/>
        <w:rPr>
          <w:lang w:val="bs-Latn-BA"/>
        </w:rPr>
      </w:pPr>
      <w:r w:rsidRPr="004B3E90">
        <w:rPr>
          <w:noProof/>
        </w:rPr>
        <w:drawing>
          <wp:inline distT="0" distB="0" distL="0" distR="0">
            <wp:extent cx="3993515" cy="2476500"/>
            <wp:effectExtent l="0" t="0" r="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31D9" w:rsidRDefault="000331D9" w:rsidP="00076C0F">
      <w:pPr>
        <w:ind w:left="0" w:firstLine="0"/>
        <w:rPr>
          <w:lang w:val="bs-Latn-BA"/>
        </w:rPr>
      </w:pPr>
    </w:p>
    <w:p w:rsidR="004B3E90" w:rsidRDefault="004B3E90" w:rsidP="004B3E90">
      <w:pPr>
        <w:ind w:left="0" w:firstLine="720"/>
        <w:rPr>
          <w:lang w:val="bs-Latn-BA"/>
        </w:rPr>
      </w:pPr>
      <w:r>
        <w:rPr>
          <w:lang w:val="bs-Latn-BA"/>
        </w:rPr>
        <w:t>Budžetska stavka - grant Federacije BiH</w:t>
      </w:r>
      <w:r w:rsidR="00FA45E1">
        <w:rPr>
          <w:lang w:val="bs-Latn-BA"/>
        </w:rPr>
        <w:t xml:space="preserve"> / redovni transfer</w:t>
      </w:r>
      <w:r>
        <w:rPr>
          <w:lang w:val="bs-Latn-BA"/>
        </w:rPr>
        <w:t>, koji ne uključuje namjen</w:t>
      </w:r>
      <w:r w:rsidR="005E7E85">
        <w:rPr>
          <w:lang w:val="bs-Latn-BA"/>
        </w:rPr>
        <w:t>s</w:t>
      </w:r>
      <w:r>
        <w:rPr>
          <w:lang w:val="bs-Latn-BA"/>
        </w:rPr>
        <w:t>ka izdvajanja iz Budžeta Federacije BiH po osnovu zajedničke nadležnosti u oblasti socijalne politike, značajno učestvuje u strukturi prihoda Kantona i osnovna karakteristika ove vrste prihoda u svim posmatranim godinama jeste da je na početku svake godine planiran daleko veći i uvijek različit iznos sredstava iako se njegova realizacija svake godine kretala u iznosu od oko 6 miliona KM, izuzev 2009. godine kada Vlada F BiH nije dala grant već kredit iz sredstava MMF-a u iznosu od 8,7 miliona KM.</w:t>
      </w:r>
    </w:p>
    <w:p w:rsidR="004B3E90" w:rsidRDefault="004B3E90" w:rsidP="00076C0F">
      <w:pPr>
        <w:ind w:left="0" w:firstLine="0"/>
        <w:rPr>
          <w:lang w:val="bs-Latn-BA"/>
        </w:rPr>
      </w:pPr>
    </w:p>
    <w:p w:rsidR="00777C34" w:rsidRDefault="00777C34" w:rsidP="00AF68E6">
      <w:pPr>
        <w:ind w:left="0" w:firstLine="720"/>
        <w:rPr>
          <w:lang w:val="bs-Latn-BA"/>
        </w:rPr>
      </w:pPr>
      <w:r>
        <w:rPr>
          <w:lang w:val="bs-Latn-BA"/>
        </w:rPr>
        <w:lastRenderedPageBreak/>
        <w:t xml:space="preserve">U Budžetu Bosansko-podrinjskog kantona za 2014. </w:t>
      </w:r>
      <w:r w:rsidR="00AF68E6">
        <w:rPr>
          <w:lang w:val="bs-Latn-BA"/>
        </w:rPr>
        <w:t>g</w:t>
      </w:r>
      <w:r>
        <w:rPr>
          <w:lang w:val="bs-Latn-BA"/>
        </w:rPr>
        <w:t xml:space="preserve">odinu jasno </w:t>
      </w:r>
      <w:r w:rsidR="00AF68E6">
        <w:rPr>
          <w:lang w:val="bs-Latn-BA"/>
        </w:rPr>
        <w:t xml:space="preserve">se može vidjeti </w:t>
      </w:r>
      <w:r>
        <w:rPr>
          <w:lang w:val="bs-Latn-BA"/>
        </w:rPr>
        <w:t>opredjeljenje Vlade kantona u 2014. godini</w:t>
      </w:r>
      <w:r w:rsidR="00AF68E6">
        <w:rPr>
          <w:lang w:val="bs-Latn-BA"/>
        </w:rPr>
        <w:t xml:space="preserve"> u cilju implementacije prioriteta, programa, projekata i mjera iz Programa razvoja kantona do 2014. </w:t>
      </w:r>
      <w:r w:rsidR="0044147B">
        <w:rPr>
          <w:lang w:val="bs-Latn-BA"/>
        </w:rPr>
        <w:t>g</w:t>
      </w:r>
      <w:r w:rsidR="00AF68E6">
        <w:rPr>
          <w:lang w:val="bs-Latn-BA"/>
        </w:rPr>
        <w:t>odine</w:t>
      </w:r>
      <w:r w:rsidR="0044147B">
        <w:rPr>
          <w:lang w:val="bs-Latn-BA"/>
        </w:rPr>
        <w:t xml:space="preserve"> za čiju implementaciju su planirana sredstva i u budžetu za narednu godinu</w:t>
      </w:r>
      <w:r w:rsidR="00AF68E6">
        <w:rPr>
          <w:lang w:val="bs-Latn-BA"/>
        </w:rPr>
        <w:t>.</w:t>
      </w:r>
      <w:r w:rsidR="004B3E90">
        <w:rPr>
          <w:lang w:val="bs-Latn-BA"/>
        </w:rPr>
        <w:t xml:space="preserve"> </w:t>
      </w:r>
      <w:r w:rsidR="0044147B">
        <w:rPr>
          <w:lang w:val="bs-Latn-BA"/>
        </w:rPr>
        <w:t>Pored toga, z</w:t>
      </w:r>
      <w:r>
        <w:rPr>
          <w:lang w:val="bs-Latn-BA"/>
        </w:rPr>
        <w:t>adržavanje nivoa izdvajanja za plate zaposlenih na sadašnjem nivou će omogućiti da Bosansko-podrinjski kanton Goražde bez problema /kao i do sada/ osigura isplatu plata zaposlenih radnika i time značajno doprinese stabilnosti ukupn</w:t>
      </w:r>
      <w:r w:rsidR="005E7E85">
        <w:rPr>
          <w:lang w:val="bs-Latn-BA"/>
        </w:rPr>
        <w:t>e</w:t>
      </w:r>
      <w:r>
        <w:rPr>
          <w:lang w:val="bs-Latn-BA"/>
        </w:rPr>
        <w:t xml:space="preserve"> ekonomije </w:t>
      </w:r>
      <w:r w:rsidR="005E7E85">
        <w:rPr>
          <w:lang w:val="bs-Latn-BA"/>
        </w:rPr>
        <w:t>K</w:t>
      </w:r>
      <w:r>
        <w:rPr>
          <w:lang w:val="bs-Latn-BA"/>
        </w:rPr>
        <w:t>antona.</w:t>
      </w:r>
    </w:p>
    <w:p w:rsidR="00777C34" w:rsidRDefault="00777C34" w:rsidP="00076C0F">
      <w:pPr>
        <w:ind w:left="0" w:firstLine="0"/>
        <w:rPr>
          <w:lang w:val="bs-Latn-BA"/>
        </w:rPr>
      </w:pPr>
    </w:p>
    <w:p w:rsidR="00777C34" w:rsidRDefault="00777C34" w:rsidP="00AF68E6">
      <w:pPr>
        <w:ind w:left="0" w:firstLine="720"/>
        <w:rPr>
          <w:lang w:val="bs-Latn-BA"/>
        </w:rPr>
      </w:pPr>
      <w:r>
        <w:rPr>
          <w:lang w:val="bs-Latn-BA"/>
        </w:rPr>
        <w:t xml:space="preserve">Vlada </w:t>
      </w:r>
      <w:r w:rsidR="005E7E85">
        <w:rPr>
          <w:lang w:val="bs-Latn-BA"/>
        </w:rPr>
        <w:t>K</w:t>
      </w:r>
      <w:r>
        <w:rPr>
          <w:lang w:val="bs-Latn-BA"/>
        </w:rPr>
        <w:t>antona je potpuno posvećena smanjenju troškova materijala i usluga o čemu najbolje govore podaci da su troškovi materijala i usluga u 2014. godini za skoro 50 % smanjeni u odnosu na planirane troškove u 2007. godini. U skladu sa preporukama Svjetske banke</w:t>
      </w:r>
      <w:r w:rsidR="005E7E85">
        <w:rPr>
          <w:lang w:val="bs-Latn-BA"/>
        </w:rPr>
        <w:t>,</w:t>
      </w:r>
      <w:r>
        <w:rPr>
          <w:lang w:val="bs-Latn-BA"/>
        </w:rPr>
        <w:t xml:space="preserve"> Vlada </w:t>
      </w:r>
      <w:r w:rsidR="005E7E85">
        <w:rPr>
          <w:lang w:val="bs-Latn-BA"/>
        </w:rPr>
        <w:t>K</w:t>
      </w:r>
      <w:r>
        <w:rPr>
          <w:lang w:val="bs-Latn-BA"/>
        </w:rPr>
        <w:t>antona je nastojala smanjiti izdvajanja za tekuće tran</w:t>
      </w:r>
      <w:r w:rsidR="005E7E85">
        <w:rPr>
          <w:lang w:val="bs-Latn-BA"/>
        </w:rPr>
        <w:t>s</w:t>
      </w:r>
      <w:r>
        <w:rPr>
          <w:lang w:val="bs-Latn-BA"/>
        </w:rPr>
        <w:t>fere</w:t>
      </w:r>
      <w:r w:rsidR="005E7E85">
        <w:rPr>
          <w:lang w:val="bs-Latn-BA"/>
        </w:rPr>
        <w:t>,</w:t>
      </w:r>
      <w:r>
        <w:rPr>
          <w:lang w:val="bs-Latn-BA"/>
        </w:rPr>
        <w:t xml:space="preserve"> a povećati ulaganja u programe koji direktno doprinose povećanju javnih prihoda ili smanjenju budžetskih troškova kao što su to projekti prelaska na bio-gorivo za zagrijavanje javnih ustanova kojim istovremeno smanjujemo troškove uvoznog lož-ulja i povećanje javnih prihoda kroz održivo korištenje šuma na području Kantona.</w:t>
      </w:r>
    </w:p>
    <w:p w:rsidR="002B14A1" w:rsidRDefault="002B14A1" w:rsidP="00076C0F">
      <w:pPr>
        <w:ind w:left="0" w:firstLine="0"/>
        <w:rPr>
          <w:lang w:val="bs-Latn-BA"/>
        </w:rPr>
      </w:pPr>
    </w:p>
    <w:p w:rsidR="004208E5" w:rsidRDefault="004208E5" w:rsidP="0044147B">
      <w:pPr>
        <w:ind w:left="0" w:firstLine="720"/>
        <w:rPr>
          <w:lang w:val="bs-Latn-BA"/>
        </w:rPr>
      </w:pPr>
      <w:r>
        <w:rPr>
          <w:lang w:val="bs-Latn-BA"/>
        </w:rPr>
        <w:t xml:space="preserve">Vlada Bosansko-podrinjskog kantona Goražde je predložila Budžet za 2014. godinu koji garantuje sigurno finansiranje osnovnih funkcija </w:t>
      </w:r>
      <w:r w:rsidR="004031C4">
        <w:rPr>
          <w:lang w:val="bs-Latn-BA"/>
        </w:rPr>
        <w:t>K</w:t>
      </w:r>
      <w:r>
        <w:rPr>
          <w:lang w:val="bs-Latn-BA"/>
        </w:rPr>
        <w:t>antona koje će biti finan</w:t>
      </w:r>
      <w:r w:rsidR="004031C4">
        <w:rPr>
          <w:lang w:val="bs-Latn-BA"/>
        </w:rPr>
        <w:t>s</w:t>
      </w:r>
      <w:r>
        <w:rPr>
          <w:lang w:val="bs-Latn-BA"/>
        </w:rPr>
        <w:t xml:space="preserve">irane isključivo vlastitim prihodima i za koje neće biti potrebno bilo kakvo zaduženje kao što je to slučaj u ostalim kantonima ili Federaciji BiH. U Budžetu su vlastiti prihodi dodatno povećani zasnovani na programu rada Vlade </w:t>
      </w:r>
      <w:r w:rsidR="004031C4">
        <w:rPr>
          <w:lang w:val="bs-Latn-BA"/>
        </w:rPr>
        <w:t>K</w:t>
      </w:r>
      <w:r>
        <w:rPr>
          <w:lang w:val="bs-Latn-BA"/>
        </w:rPr>
        <w:t>anton</w:t>
      </w:r>
      <w:r w:rsidR="004031C4">
        <w:rPr>
          <w:lang w:val="bs-Latn-BA"/>
        </w:rPr>
        <w:t>a</w:t>
      </w:r>
      <w:r>
        <w:rPr>
          <w:lang w:val="bs-Latn-BA"/>
        </w:rPr>
        <w:t xml:space="preserve"> za 2013. </w:t>
      </w:r>
      <w:r w:rsidR="00FA45E1">
        <w:rPr>
          <w:lang w:val="bs-Latn-BA"/>
        </w:rPr>
        <w:t>g</w:t>
      </w:r>
      <w:r>
        <w:rPr>
          <w:lang w:val="bs-Latn-BA"/>
        </w:rPr>
        <w:t xml:space="preserve">odinu, kao što </w:t>
      </w:r>
      <w:r w:rsidR="004031C4">
        <w:rPr>
          <w:lang w:val="bs-Latn-BA"/>
        </w:rPr>
        <w:t>je</w:t>
      </w:r>
      <w:r>
        <w:rPr>
          <w:lang w:val="bs-Latn-BA"/>
        </w:rPr>
        <w:t xml:space="preserve"> očekivano povećanje prihoda od poreza na dohodak, poreza na imovinu i prihoda od kantonalnih naknada i taksi. U narednoj godini očekujemo značajno povećanje vlastitih prihoda </w:t>
      </w:r>
      <w:r w:rsidR="004031C4">
        <w:rPr>
          <w:lang w:val="bs-Latn-BA"/>
        </w:rPr>
        <w:t>K</w:t>
      </w:r>
      <w:r>
        <w:rPr>
          <w:lang w:val="bs-Latn-BA"/>
        </w:rPr>
        <w:t>antona po osnovu koncesija za korištenje prirodnih bogastava i dobara u općoj upotrebi. Novim Nacrtom zakona o koncesijama koji je usvojen od stran</w:t>
      </w:r>
      <w:r w:rsidR="0044147B">
        <w:rPr>
          <w:lang w:val="bs-Latn-BA"/>
        </w:rPr>
        <w:t>e V</w:t>
      </w:r>
      <w:r>
        <w:rPr>
          <w:lang w:val="bs-Latn-BA"/>
        </w:rPr>
        <w:t>lade</w:t>
      </w:r>
      <w:r w:rsidR="0044147B">
        <w:rPr>
          <w:lang w:val="bs-Latn-BA"/>
        </w:rPr>
        <w:t xml:space="preserve"> </w:t>
      </w:r>
      <w:r w:rsidR="004031C4">
        <w:rPr>
          <w:lang w:val="bs-Latn-BA"/>
        </w:rPr>
        <w:t>K</w:t>
      </w:r>
      <w:r w:rsidR="0044147B">
        <w:rPr>
          <w:lang w:val="bs-Latn-BA"/>
        </w:rPr>
        <w:t>antona</w:t>
      </w:r>
      <w:r>
        <w:rPr>
          <w:lang w:val="bs-Latn-BA"/>
        </w:rPr>
        <w:t xml:space="preserve"> obezb</w:t>
      </w:r>
      <w:r w:rsidR="004031C4">
        <w:rPr>
          <w:lang w:val="bs-Latn-BA"/>
        </w:rPr>
        <w:t>i</w:t>
      </w:r>
      <w:r>
        <w:rPr>
          <w:lang w:val="bs-Latn-BA"/>
        </w:rPr>
        <w:t xml:space="preserve">jediće </w:t>
      </w:r>
      <w:r w:rsidR="004031C4">
        <w:rPr>
          <w:lang w:val="bs-Latn-BA"/>
        </w:rPr>
        <w:t>se</w:t>
      </w:r>
      <w:r w:rsidR="002E6D7D">
        <w:rPr>
          <w:lang w:val="bs-Latn-BA"/>
        </w:rPr>
        <w:t xml:space="preserve"> </w:t>
      </w:r>
      <w:r w:rsidR="0044147B">
        <w:rPr>
          <w:lang w:val="bs-Latn-BA"/>
        </w:rPr>
        <w:t>zna</w:t>
      </w:r>
      <w:r>
        <w:rPr>
          <w:lang w:val="bs-Latn-BA"/>
        </w:rPr>
        <w:t xml:space="preserve">čajno povećanje </w:t>
      </w:r>
      <w:r w:rsidR="0044147B">
        <w:rPr>
          <w:lang w:val="bs-Latn-BA"/>
        </w:rPr>
        <w:t xml:space="preserve">budžetskih </w:t>
      </w:r>
      <w:r>
        <w:rPr>
          <w:lang w:val="bs-Latn-BA"/>
        </w:rPr>
        <w:t xml:space="preserve">prihoda </w:t>
      </w:r>
      <w:r w:rsidR="0044147B">
        <w:rPr>
          <w:lang w:val="bs-Latn-BA"/>
        </w:rPr>
        <w:t>po osnovu</w:t>
      </w:r>
      <w:r>
        <w:rPr>
          <w:lang w:val="bs-Latn-BA"/>
        </w:rPr>
        <w:t xml:space="preserve"> koncesija</w:t>
      </w:r>
      <w:r w:rsidR="002E6D7D">
        <w:rPr>
          <w:lang w:val="bs-Latn-BA"/>
        </w:rPr>
        <w:t>,</w:t>
      </w:r>
      <w:r w:rsidR="0044147B">
        <w:rPr>
          <w:lang w:val="bs-Latn-BA"/>
        </w:rPr>
        <w:t xml:space="preserve"> a novi zakon će osigurati </w:t>
      </w:r>
      <w:r>
        <w:rPr>
          <w:lang w:val="bs-Latn-BA"/>
        </w:rPr>
        <w:t xml:space="preserve">da </w:t>
      </w:r>
      <w:r w:rsidR="0044147B">
        <w:rPr>
          <w:lang w:val="bs-Latn-BA"/>
        </w:rPr>
        <w:t>svi</w:t>
      </w:r>
      <w:r>
        <w:rPr>
          <w:lang w:val="bs-Latn-BA"/>
        </w:rPr>
        <w:t xml:space="preserve"> koncesionari plaćaju ekonomsku cijenu koncesije kao što je to slučaj sa novim koncesionarima. </w:t>
      </w:r>
    </w:p>
    <w:p w:rsidR="0044147B" w:rsidRDefault="0044147B" w:rsidP="0044147B">
      <w:pPr>
        <w:ind w:left="0" w:firstLine="720"/>
        <w:rPr>
          <w:lang w:val="bs-Latn-BA"/>
        </w:rPr>
      </w:pPr>
    </w:p>
    <w:p w:rsidR="00471252" w:rsidRDefault="0044147B" w:rsidP="0044147B">
      <w:pPr>
        <w:ind w:left="0" w:firstLine="720"/>
        <w:rPr>
          <w:lang w:val="bs-Latn-BA"/>
        </w:rPr>
      </w:pPr>
      <w:r>
        <w:rPr>
          <w:lang w:val="bs-Latn-BA"/>
        </w:rPr>
        <w:t>Na kraju</w:t>
      </w:r>
      <w:r w:rsidR="00210DF7">
        <w:rPr>
          <w:lang w:val="bs-Latn-BA"/>
        </w:rPr>
        <w:t xml:space="preserve"> uvodnog obrazloženja, </w:t>
      </w:r>
      <w:r>
        <w:rPr>
          <w:lang w:val="bs-Latn-BA"/>
        </w:rPr>
        <w:t xml:space="preserve">želim poručiti svima, a posebno </w:t>
      </w:r>
      <w:r w:rsidR="002E6D7D">
        <w:rPr>
          <w:lang w:val="bs-Latn-BA"/>
        </w:rPr>
        <w:t>p</w:t>
      </w:r>
      <w:r>
        <w:rPr>
          <w:lang w:val="bs-Latn-BA"/>
        </w:rPr>
        <w:t xml:space="preserve">oslanicima u Skupštini i građanima </w:t>
      </w:r>
      <w:r w:rsidR="00210DF7">
        <w:rPr>
          <w:lang w:val="bs-Latn-BA"/>
        </w:rPr>
        <w:t xml:space="preserve">Bosansko-podrinjskog kantona Goražde </w:t>
      </w:r>
      <w:r>
        <w:rPr>
          <w:lang w:val="bs-Latn-BA"/>
        </w:rPr>
        <w:t>da je Vlada kantona spremna za razgovore o bilo kojem segmentu budžetske potrošnje i potrebama za promjen</w:t>
      </w:r>
      <w:r w:rsidR="002E6D7D">
        <w:rPr>
          <w:lang w:val="bs-Latn-BA"/>
        </w:rPr>
        <w:t>a</w:t>
      </w:r>
      <w:r>
        <w:rPr>
          <w:lang w:val="bs-Latn-BA"/>
        </w:rPr>
        <w:t xml:space="preserve">ma u njenoj </w:t>
      </w:r>
      <w:r w:rsidR="00210DF7">
        <w:rPr>
          <w:lang w:val="bs-Latn-BA"/>
        </w:rPr>
        <w:t>strukturi. Budžet za 2014.g</w:t>
      </w:r>
      <w:r>
        <w:rPr>
          <w:lang w:val="bs-Latn-BA"/>
        </w:rPr>
        <w:t>odinu će zasigurno morati proći proceduru donošenja izmjena i dopuna, prije svega radi ispunjavanja obaveza po osnovu kredita Vlade Federacije BiH, ali i radi osiguranja dodatnih izvora finansiranja za projekte u oblasti infrastrukture.</w:t>
      </w:r>
    </w:p>
    <w:p w:rsidR="00471252" w:rsidRDefault="00471252" w:rsidP="0044147B">
      <w:pPr>
        <w:ind w:left="0" w:firstLine="720"/>
        <w:rPr>
          <w:lang w:val="bs-Latn-BA"/>
        </w:rPr>
      </w:pPr>
    </w:p>
    <w:p w:rsidR="00471252" w:rsidRPr="002E6D7D" w:rsidRDefault="00471252" w:rsidP="00076C0F">
      <w:pPr>
        <w:ind w:left="0" w:firstLine="0"/>
        <w:rPr>
          <w:b/>
          <w:lang w:val="bs-Latn-BA"/>
        </w:rPr>
      </w:pPr>
      <w:r>
        <w:rPr>
          <w:lang w:val="bs-Latn-BA"/>
        </w:rPr>
        <w:tab/>
      </w:r>
      <w:r w:rsidRPr="002E6D7D">
        <w:rPr>
          <w:b/>
          <w:lang w:val="bs-Latn-BA"/>
        </w:rPr>
        <w:t>PREMIJER</w:t>
      </w:r>
    </w:p>
    <w:p w:rsidR="00471252" w:rsidRPr="002E6D7D" w:rsidRDefault="00471252" w:rsidP="00076C0F">
      <w:pPr>
        <w:ind w:left="0" w:firstLine="0"/>
        <w:rPr>
          <w:b/>
          <w:lang w:val="bs-Latn-BA"/>
        </w:rPr>
      </w:pPr>
      <w:r w:rsidRPr="002E6D7D">
        <w:rPr>
          <w:b/>
          <w:lang w:val="bs-Latn-BA"/>
        </w:rPr>
        <w:tab/>
        <w:t>Bosansko-podrinjskog kantona Goražde</w:t>
      </w:r>
    </w:p>
    <w:p w:rsidR="00D154B8" w:rsidRPr="002E6D7D" w:rsidRDefault="00471252" w:rsidP="00076C0F">
      <w:pPr>
        <w:ind w:left="0" w:firstLine="0"/>
        <w:rPr>
          <w:i/>
          <w:lang w:val="bs-Latn-BA"/>
        </w:rPr>
      </w:pPr>
      <w:r>
        <w:rPr>
          <w:lang w:val="bs-Latn-BA"/>
        </w:rPr>
        <w:tab/>
      </w:r>
      <w:r w:rsidRPr="002E6D7D">
        <w:rPr>
          <w:i/>
          <w:lang w:val="bs-Latn-BA"/>
        </w:rPr>
        <w:t>Emir Frašto</w:t>
      </w:r>
    </w:p>
    <w:p w:rsidR="00471252" w:rsidRDefault="00471252" w:rsidP="00076C0F">
      <w:pPr>
        <w:ind w:left="0" w:firstLine="0"/>
        <w:rPr>
          <w:lang w:val="bs-Latn-BA"/>
        </w:rPr>
      </w:pPr>
      <w:r>
        <w:rPr>
          <w:lang w:val="bs-Latn-BA"/>
        </w:rPr>
        <w:tab/>
      </w:r>
    </w:p>
    <w:p w:rsidR="00484972" w:rsidRDefault="00484972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p w:rsidR="00A21DBC" w:rsidRDefault="00A21DBC" w:rsidP="00076C0F">
      <w:pPr>
        <w:ind w:left="0" w:firstLine="0"/>
        <w:rPr>
          <w:lang w:val="bs-Latn-BA"/>
        </w:rPr>
      </w:pPr>
    </w:p>
    <w:tbl>
      <w:tblPr>
        <w:tblW w:w="11394" w:type="dxa"/>
        <w:tblInd w:w="-1026" w:type="dxa"/>
        <w:tblLook w:val="04A0"/>
      </w:tblPr>
      <w:tblGrid>
        <w:gridCol w:w="2835"/>
        <w:gridCol w:w="1042"/>
        <w:gridCol w:w="1136"/>
        <w:gridCol w:w="1042"/>
        <w:gridCol w:w="1042"/>
        <w:gridCol w:w="983"/>
        <w:gridCol w:w="1136"/>
        <w:gridCol w:w="1042"/>
        <w:gridCol w:w="1136"/>
      </w:tblGrid>
      <w:tr w:rsidR="00484972" w:rsidRPr="00484972" w:rsidTr="00433ED2">
        <w:trPr>
          <w:trHeight w:val="7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  <w:r w:rsidRPr="00484972"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  <w:t>Budzet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56"/>
                <w:szCs w:val="56"/>
                <w:lang w:val="bs-Latn-BA" w:eastAsia="bs-Latn-BA"/>
              </w:rPr>
            </w:pPr>
          </w:p>
        </w:tc>
      </w:tr>
      <w:tr w:rsidR="00484972" w:rsidRPr="00484972" w:rsidTr="00433ED2">
        <w:trPr>
          <w:trHeight w:val="465"/>
        </w:trPr>
        <w:tc>
          <w:tcPr>
            <w:tcW w:w="6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  <w:r w:rsidRPr="004849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  <w:t>Bosansko-podrinjskog kantona Gorazde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</w:tr>
      <w:tr w:rsidR="00484972" w:rsidRPr="00484972" w:rsidTr="00433ED2">
        <w:trPr>
          <w:trHeight w:val="4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  <w:r w:rsidRPr="00484972"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  <w:lastRenderedPageBreak/>
              <w:t>2007-2014. GODINA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33ED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bs-Latn-BA" w:eastAsia="bs-Latn-BA"/>
              </w:rPr>
            </w:pPr>
          </w:p>
        </w:tc>
      </w:tr>
    </w:tbl>
    <w:p w:rsidR="00484972" w:rsidRDefault="00484972" w:rsidP="00076C0F">
      <w:pPr>
        <w:ind w:left="0" w:firstLine="0"/>
        <w:rPr>
          <w:lang w:val="bs-Latn-BA"/>
        </w:rPr>
      </w:pPr>
    </w:p>
    <w:tbl>
      <w:tblPr>
        <w:tblW w:w="11265" w:type="dxa"/>
        <w:tblInd w:w="-1026" w:type="dxa"/>
        <w:tblLook w:val="04A0"/>
      </w:tblPr>
      <w:tblGrid>
        <w:gridCol w:w="718"/>
        <w:gridCol w:w="2117"/>
        <w:gridCol w:w="1042"/>
        <w:gridCol w:w="1042"/>
        <w:gridCol w:w="1042"/>
        <w:gridCol w:w="1042"/>
        <w:gridCol w:w="1042"/>
        <w:gridCol w:w="1136"/>
        <w:gridCol w:w="1042"/>
        <w:gridCol w:w="1042"/>
      </w:tblGrid>
      <w:tr w:rsidR="00484972" w:rsidRPr="00484972" w:rsidTr="0048497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  <w:lang w:val="bs-Latn-BA" w:eastAsia="bs-Latn-BA"/>
              </w:rPr>
            </w:pPr>
          </w:p>
        </w:tc>
      </w:tr>
      <w:tr w:rsidR="00484972" w:rsidRPr="00484972" w:rsidTr="00A21DBC">
        <w:trPr>
          <w:trHeight w:val="53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RBR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PRIHOD / RASHOD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2014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484972" w:rsidRPr="00484972" w:rsidTr="00A21DBC">
        <w:trPr>
          <w:trHeight w:val="4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1.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PRIHODI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40.760.957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47.769.205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39.518.948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39.853.668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45.171.528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43.819.340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39.950.216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42.011.084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1.1.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Prihodi od poreza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25.775.957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28.000.000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29.881.177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25.084.958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28.686.275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29.406.384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29.580.636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25.921.703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1.2.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Porez na dohodak (raniji porez na placu)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1.800.000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1.976.000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2.560.000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1.451.809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1.865.440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1.953.544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2.424.393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2.285.025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1.3.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Porez na imovinu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160.677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136.089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166.587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234.778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391.991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1.4.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PDV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23.385.957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25.380.000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26.762.489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22.964.486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26.517.539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27.165.507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26.597.405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23.011.768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1.5.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Neporezni prihodi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2.353.000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2.067.994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2.407.880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2.468.120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2.035.406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2.936.892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4.102.654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1.6.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Tekući grantovi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12.500.000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17.304.205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7.530.000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12.332.049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14.009.000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12.365.406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6.770.633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11.072.202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1.7.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Nenamjenski grant F BiH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8.000.000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16.000.000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6.000.000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10.000.000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12.000.000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11.500.000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5.500.000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8.000.000</w:t>
            </w:r>
          </w:p>
        </w:tc>
      </w:tr>
      <w:tr w:rsidR="00484972" w:rsidRPr="00484972" w:rsidTr="00484972">
        <w:trPr>
          <w:trHeight w:val="66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972" w:rsidRPr="00484972" w:rsidRDefault="00484972" w:rsidP="00484972">
            <w:pPr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2014</w:t>
            </w:r>
          </w:p>
        </w:tc>
      </w:tr>
      <w:tr w:rsidR="00484972" w:rsidRPr="00484972" w:rsidTr="00A21DBC">
        <w:trPr>
          <w:trHeight w:val="45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2.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RASHODI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40.760.957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47.769.205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39.518.948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39.853.668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45.171.528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43.819.340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39.950.216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42.011.084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2.1.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PLATE I NAKNADE ZAPOSLENIM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15.852.372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20.024.354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18.565.770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19.261.575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19.748.871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20.243.381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19.795.325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20.246.831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2.2.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IZDACI ZA MATERIJAL I USLUGE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6.310.227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5.048.292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3.334.672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3.866.035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4.106.372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3.461.616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3.609.782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3.425.221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 xml:space="preserve">TEKUĆI TRANSFERI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14.213.162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17.813.000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15.098.000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14.602.201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18.768.400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16.167.100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13.888.805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13.190.473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2.3.1.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Tekući transferi drugim nivoima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3.650.000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4.104.100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7.816.500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6.573.000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4.281.500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3.763.000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2.3.2.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Tekući transferi pojedincima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7.605.000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6.799.401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7.812.200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6.834.100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6.979.805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7.164.810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2.3.3.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Tekuci transferi organizacijama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398.000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380.200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718.700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780.000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737.500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750.000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2.3.4.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Subvencije javnim preduzecima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2.565.000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3.089.500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371.000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240.000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260.000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310.000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2.3.5.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 xml:space="preserve">Subvencije privatnim preduzećima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880.000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866.000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1.800.000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1.540.000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1.430.000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1.050.000</w:t>
            </w:r>
          </w:p>
        </w:tc>
      </w:tr>
      <w:tr w:rsidR="00484972" w:rsidRPr="00484972" w:rsidTr="00484972">
        <w:trPr>
          <w:trHeight w:val="37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2.4.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 xml:space="preserve">KAPITALNI TRANSFERI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922.937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1.665.000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660.000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885.000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1.885.000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2.120.000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760.000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1.270.000</w:t>
            </w:r>
          </w:p>
        </w:tc>
      </w:tr>
      <w:tr w:rsidR="00484972" w:rsidRPr="00484972" w:rsidTr="0048497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2.5.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 xml:space="preserve">NABAVKA STALNIH SREDSTAVA 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3.420.139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2.238.559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1.946.003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820.459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2.646.800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1.969.014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1.473.210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2.163.800</w:t>
            </w:r>
          </w:p>
        </w:tc>
      </w:tr>
      <w:tr w:rsidR="00484972" w:rsidRPr="00484972" w:rsidTr="00484972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2.6.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KAMATE I OTPLATA DUGOVA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355.000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sz w:val="18"/>
                <w:szCs w:val="18"/>
                <w:lang w:val="bs-Latn-BA" w:eastAsia="bs-Latn-BA"/>
              </w:rPr>
              <w:t>430.000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699.000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  <w:t>455.810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408.594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972" w:rsidRPr="00484972" w:rsidRDefault="00484972" w:rsidP="00484972">
            <w:pPr>
              <w:ind w:left="0" w:firstLine="0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48497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bs-Latn-BA" w:eastAsia="bs-Latn-BA"/>
              </w:rPr>
              <w:t>1.599.759</w:t>
            </w:r>
          </w:p>
        </w:tc>
      </w:tr>
    </w:tbl>
    <w:p w:rsidR="00484972" w:rsidRPr="00484972" w:rsidRDefault="00484972" w:rsidP="00076C0F">
      <w:pPr>
        <w:ind w:left="0" w:firstLine="0"/>
        <w:rPr>
          <w:rFonts w:cstheme="minorHAnsi"/>
          <w:sz w:val="18"/>
          <w:szCs w:val="18"/>
          <w:lang w:val="bs-Latn-BA"/>
        </w:rPr>
      </w:pPr>
    </w:p>
    <w:sectPr w:rsidR="00484972" w:rsidRPr="00484972" w:rsidSect="00A21DBC">
      <w:footerReference w:type="default" r:id="rId13"/>
      <w:pgSz w:w="12240" w:h="15840"/>
      <w:pgMar w:top="709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AE" w:rsidRDefault="009305AE" w:rsidP="008702ED">
      <w:r>
        <w:separator/>
      </w:r>
    </w:p>
  </w:endnote>
  <w:endnote w:type="continuationSeparator" w:id="1">
    <w:p w:rsidR="009305AE" w:rsidRDefault="009305AE" w:rsidP="0087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112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21DBC" w:rsidRPr="00A21DBC" w:rsidRDefault="00134181">
        <w:pPr>
          <w:pStyle w:val="Footer"/>
          <w:jc w:val="right"/>
          <w:rPr>
            <w:sz w:val="18"/>
            <w:szCs w:val="18"/>
          </w:rPr>
        </w:pPr>
        <w:r w:rsidRPr="00A21DBC">
          <w:rPr>
            <w:sz w:val="18"/>
            <w:szCs w:val="18"/>
          </w:rPr>
          <w:fldChar w:fldCharType="begin"/>
        </w:r>
        <w:r w:rsidR="00A21DBC" w:rsidRPr="00A21DBC">
          <w:rPr>
            <w:sz w:val="18"/>
            <w:szCs w:val="18"/>
          </w:rPr>
          <w:instrText xml:space="preserve"> PAGE   \* MERGEFORMAT </w:instrText>
        </w:r>
        <w:r w:rsidRPr="00A21DBC">
          <w:rPr>
            <w:sz w:val="18"/>
            <w:szCs w:val="18"/>
          </w:rPr>
          <w:fldChar w:fldCharType="separate"/>
        </w:r>
        <w:r w:rsidR="002E6D7D">
          <w:rPr>
            <w:noProof/>
            <w:sz w:val="18"/>
            <w:szCs w:val="18"/>
          </w:rPr>
          <w:t>5</w:t>
        </w:r>
        <w:r w:rsidRPr="00A21DBC">
          <w:rPr>
            <w:sz w:val="18"/>
            <w:szCs w:val="18"/>
          </w:rPr>
          <w:fldChar w:fldCharType="end"/>
        </w:r>
      </w:p>
    </w:sdtContent>
  </w:sdt>
  <w:p w:rsidR="008702ED" w:rsidRDefault="00870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AE" w:rsidRDefault="009305AE" w:rsidP="008702ED">
      <w:r>
        <w:separator/>
      </w:r>
    </w:p>
  </w:footnote>
  <w:footnote w:type="continuationSeparator" w:id="1">
    <w:p w:rsidR="009305AE" w:rsidRDefault="009305AE" w:rsidP="00870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8A"/>
    <w:multiLevelType w:val="hybridMultilevel"/>
    <w:tmpl w:val="0220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76C0F"/>
    <w:rsid w:val="000009C7"/>
    <w:rsid w:val="00004C45"/>
    <w:rsid w:val="00005861"/>
    <w:rsid w:val="00011D84"/>
    <w:rsid w:val="00012993"/>
    <w:rsid w:val="00015674"/>
    <w:rsid w:val="00015779"/>
    <w:rsid w:val="000160C7"/>
    <w:rsid w:val="00016E72"/>
    <w:rsid w:val="000219F8"/>
    <w:rsid w:val="00022667"/>
    <w:rsid w:val="00023C7E"/>
    <w:rsid w:val="0002418A"/>
    <w:rsid w:val="000259FF"/>
    <w:rsid w:val="00025BB6"/>
    <w:rsid w:val="00025BF2"/>
    <w:rsid w:val="000261A3"/>
    <w:rsid w:val="0002753F"/>
    <w:rsid w:val="00030542"/>
    <w:rsid w:val="00030915"/>
    <w:rsid w:val="00030A24"/>
    <w:rsid w:val="000331D9"/>
    <w:rsid w:val="00035255"/>
    <w:rsid w:val="00041F1D"/>
    <w:rsid w:val="000422DD"/>
    <w:rsid w:val="000435AF"/>
    <w:rsid w:val="0004729A"/>
    <w:rsid w:val="0005129E"/>
    <w:rsid w:val="0005496D"/>
    <w:rsid w:val="00060629"/>
    <w:rsid w:val="00063DAF"/>
    <w:rsid w:val="00066705"/>
    <w:rsid w:val="000700BC"/>
    <w:rsid w:val="00071F26"/>
    <w:rsid w:val="00072206"/>
    <w:rsid w:val="00076C0F"/>
    <w:rsid w:val="00077F01"/>
    <w:rsid w:val="00081D9A"/>
    <w:rsid w:val="00083059"/>
    <w:rsid w:val="00087D3A"/>
    <w:rsid w:val="00091A66"/>
    <w:rsid w:val="00096EA0"/>
    <w:rsid w:val="00097D43"/>
    <w:rsid w:val="00097D55"/>
    <w:rsid w:val="000A0664"/>
    <w:rsid w:val="000A1607"/>
    <w:rsid w:val="000A4081"/>
    <w:rsid w:val="000A409B"/>
    <w:rsid w:val="000A61BE"/>
    <w:rsid w:val="000A7733"/>
    <w:rsid w:val="000A7FA2"/>
    <w:rsid w:val="000B0789"/>
    <w:rsid w:val="000B5BA9"/>
    <w:rsid w:val="000B6C34"/>
    <w:rsid w:val="000C0448"/>
    <w:rsid w:val="000C0909"/>
    <w:rsid w:val="000C1332"/>
    <w:rsid w:val="000C193A"/>
    <w:rsid w:val="000C4057"/>
    <w:rsid w:val="000C5CFB"/>
    <w:rsid w:val="000C7853"/>
    <w:rsid w:val="000C7A46"/>
    <w:rsid w:val="000C7D4A"/>
    <w:rsid w:val="000D1901"/>
    <w:rsid w:val="000D1A40"/>
    <w:rsid w:val="000D397A"/>
    <w:rsid w:val="000D3EEA"/>
    <w:rsid w:val="000D3FA4"/>
    <w:rsid w:val="000D4348"/>
    <w:rsid w:val="000D49A8"/>
    <w:rsid w:val="000D771D"/>
    <w:rsid w:val="000E08E8"/>
    <w:rsid w:val="000E0D9C"/>
    <w:rsid w:val="000E1C08"/>
    <w:rsid w:val="000E525B"/>
    <w:rsid w:val="000E6BAA"/>
    <w:rsid w:val="000F4FC5"/>
    <w:rsid w:val="000F5065"/>
    <w:rsid w:val="000F567B"/>
    <w:rsid w:val="000F5762"/>
    <w:rsid w:val="001004A0"/>
    <w:rsid w:val="00100B1E"/>
    <w:rsid w:val="00100C76"/>
    <w:rsid w:val="00104049"/>
    <w:rsid w:val="00104CA5"/>
    <w:rsid w:val="00105558"/>
    <w:rsid w:val="0010557A"/>
    <w:rsid w:val="0010559C"/>
    <w:rsid w:val="00105764"/>
    <w:rsid w:val="00106654"/>
    <w:rsid w:val="00106ABE"/>
    <w:rsid w:val="00107C9F"/>
    <w:rsid w:val="00111BBD"/>
    <w:rsid w:val="00113654"/>
    <w:rsid w:val="00114936"/>
    <w:rsid w:val="001154AF"/>
    <w:rsid w:val="00117214"/>
    <w:rsid w:val="00122C17"/>
    <w:rsid w:val="00123A96"/>
    <w:rsid w:val="00123F0E"/>
    <w:rsid w:val="001243B0"/>
    <w:rsid w:val="00125FA6"/>
    <w:rsid w:val="001268FA"/>
    <w:rsid w:val="00132C8C"/>
    <w:rsid w:val="00133F58"/>
    <w:rsid w:val="00134181"/>
    <w:rsid w:val="00134A1A"/>
    <w:rsid w:val="00135E17"/>
    <w:rsid w:val="0013649D"/>
    <w:rsid w:val="00136CA8"/>
    <w:rsid w:val="00144B62"/>
    <w:rsid w:val="00147A15"/>
    <w:rsid w:val="00147C4E"/>
    <w:rsid w:val="00150CC8"/>
    <w:rsid w:val="00152A5E"/>
    <w:rsid w:val="00155066"/>
    <w:rsid w:val="0015566E"/>
    <w:rsid w:val="00156332"/>
    <w:rsid w:val="00160207"/>
    <w:rsid w:val="00160A7A"/>
    <w:rsid w:val="0016192C"/>
    <w:rsid w:val="00163953"/>
    <w:rsid w:val="00166361"/>
    <w:rsid w:val="00166636"/>
    <w:rsid w:val="0017462A"/>
    <w:rsid w:val="0017708F"/>
    <w:rsid w:val="00180B57"/>
    <w:rsid w:val="00180C52"/>
    <w:rsid w:val="00181B21"/>
    <w:rsid w:val="0018201B"/>
    <w:rsid w:val="001830AE"/>
    <w:rsid w:val="0018352B"/>
    <w:rsid w:val="0018551F"/>
    <w:rsid w:val="0018657A"/>
    <w:rsid w:val="001866D0"/>
    <w:rsid w:val="0019021A"/>
    <w:rsid w:val="0019372D"/>
    <w:rsid w:val="00196B89"/>
    <w:rsid w:val="001974B5"/>
    <w:rsid w:val="00197548"/>
    <w:rsid w:val="001A046A"/>
    <w:rsid w:val="001A172A"/>
    <w:rsid w:val="001A413A"/>
    <w:rsid w:val="001A56C6"/>
    <w:rsid w:val="001A6A43"/>
    <w:rsid w:val="001B0638"/>
    <w:rsid w:val="001B1385"/>
    <w:rsid w:val="001B2157"/>
    <w:rsid w:val="001B2C8A"/>
    <w:rsid w:val="001B4080"/>
    <w:rsid w:val="001B44F1"/>
    <w:rsid w:val="001B4ECA"/>
    <w:rsid w:val="001B5F25"/>
    <w:rsid w:val="001B6DD3"/>
    <w:rsid w:val="001C002A"/>
    <w:rsid w:val="001C13C4"/>
    <w:rsid w:val="001C2B76"/>
    <w:rsid w:val="001C51A9"/>
    <w:rsid w:val="001C57EB"/>
    <w:rsid w:val="001D0849"/>
    <w:rsid w:val="001D2CBB"/>
    <w:rsid w:val="001E28C6"/>
    <w:rsid w:val="001E6180"/>
    <w:rsid w:val="001F192C"/>
    <w:rsid w:val="001F566B"/>
    <w:rsid w:val="001F5738"/>
    <w:rsid w:val="001F725C"/>
    <w:rsid w:val="001F7815"/>
    <w:rsid w:val="001F7A70"/>
    <w:rsid w:val="00201032"/>
    <w:rsid w:val="002038CB"/>
    <w:rsid w:val="00204722"/>
    <w:rsid w:val="00207AA8"/>
    <w:rsid w:val="00210DF7"/>
    <w:rsid w:val="00211113"/>
    <w:rsid w:val="00211471"/>
    <w:rsid w:val="002116C0"/>
    <w:rsid w:val="002178C1"/>
    <w:rsid w:val="00217C5E"/>
    <w:rsid w:val="002215F2"/>
    <w:rsid w:val="00234882"/>
    <w:rsid w:val="0023791B"/>
    <w:rsid w:val="002418D2"/>
    <w:rsid w:val="00242B31"/>
    <w:rsid w:val="00244D84"/>
    <w:rsid w:val="0024656B"/>
    <w:rsid w:val="002479A2"/>
    <w:rsid w:val="0025083E"/>
    <w:rsid w:val="00251A61"/>
    <w:rsid w:val="002523A3"/>
    <w:rsid w:val="00252AF4"/>
    <w:rsid w:val="00252E9B"/>
    <w:rsid w:val="00252EFF"/>
    <w:rsid w:val="0025442C"/>
    <w:rsid w:val="00255451"/>
    <w:rsid w:val="00256EF2"/>
    <w:rsid w:val="00261EDC"/>
    <w:rsid w:val="00264442"/>
    <w:rsid w:val="0027332D"/>
    <w:rsid w:val="0027513D"/>
    <w:rsid w:val="0027531B"/>
    <w:rsid w:val="00276C59"/>
    <w:rsid w:val="00276F92"/>
    <w:rsid w:val="00280FAE"/>
    <w:rsid w:val="0028117A"/>
    <w:rsid w:val="00290608"/>
    <w:rsid w:val="00293246"/>
    <w:rsid w:val="00295048"/>
    <w:rsid w:val="002959D5"/>
    <w:rsid w:val="00297909"/>
    <w:rsid w:val="002A460A"/>
    <w:rsid w:val="002A53F0"/>
    <w:rsid w:val="002A5CF3"/>
    <w:rsid w:val="002B14A1"/>
    <w:rsid w:val="002B1E4F"/>
    <w:rsid w:val="002B58F0"/>
    <w:rsid w:val="002B61AE"/>
    <w:rsid w:val="002B7219"/>
    <w:rsid w:val="002B744F"/>
    <w:rsid w:val="002C2D29"/>
    <w:rsid w:val="002C7256"/>
    <w:rsid w:val="002D080C"/>
    <w:rsid w:val="002D0C9D"/>
    <w:rsid w:val="002D1638"/>
    <w:rsid w:val="002D1F29"/>
    <w:rsid w:val="002D47BA"/>
    <w:rsid w:val="002D57A9"/>
    <w:rsid w:val="002D59B0"/>
    <w:rsid w:val="002D60E5"/>
    <w:rsid w:val="002E3A4D"/>
    <w:rsid w:val="002E3EA0"/>
    <w:rsid w:val="002E6D7D"/>
    <w:rsid w:val="002E79DC"/>
    <w:rsid w:val="002F0BE8"/>
    <w:rsid w:val="002F1506"/>
    <w:rsid w:val="002F5B89"/>
    <w:rsid w:val="002F5BDB"/>
    <w:rsid w:val="002F6787"/>
    <w:rsid w:val="002F7D55"/>
    <w:rsid w:val="0030064F"/>
    <w:rsid w:val="003062C2"/>
    <w:rsid w:val="003067FC"/>
    <w:rsid w:val="0030763E"/>
    <w:rsid w:val="00310FBF"/>
    <w:rsid w:val="00311431"/>
    <w:rsid w:val="0031367F"/>
    <w:rsid w:val="003141D7"/>
    <w:rsid w:val="003156F2"/>
    <w:rsid w:val="00315FFC"/>
    <w:rsid w:val="00316E0E"/>
    <w:rsid w:val="00323664"/>
    <w:rsid w:val="00327239"/>
    <w:rsid w:val="00327DC4"/>
    <w:rsid w:val="00330F27"/>
    <w:rsid w:val="00332E7E"/>
    <w:rsid w:val="00333416"/>
    <w:rsid w:val="003441C4"/>
    <w:rsid w:val="00350C76"/>
    <w:rsid w:val="00351355"/>
    <w:rsid w:val="003515F0"/>
    <w:rsid w:val="00351748"/>
    <w:rsid w:val="003530FA"/>
    <w:rsid w:val="00360198"/>
    <w:rsid w:val="003601AE"/>
    <w:rsid w:val="00363CD3"/>
    <w:rsid w:val="00365600"/>
    <w:rsid w:val="0036575C"/>
    <w:rsid w:val="003671E8"/>
    <w:rsid w:val="00367DBB"/>
    <w:rsid w:val="00372FAA"/>
    <w:rsid w:val="0037366B"/>
    <w:rsid w:val="00375BFC"/>
    <w:rsid w:val="00376033"/>
    <w:rsid w:val="0038063B"/>
    <w:rsid w:val="003828A2"/>
    <w:rsid w:val="0038334B"/>
    <w:rsid w:val="00383717"/>
    <w:rsid w:val="00386EF3"/>
    <w:rsid w:val="00390971"/>
    <w:rsid w:val="00391542"/>
    <w:rsid w:val="00392D23"/>
    <w:rsid w:val="0039385C"/>
    <w:rsid w:val="003956BD"/>
    <w:rsid w:val="003971C0"/>
    <w:rsid w:val="003A236F"/>
    <w:rsid w:val="003A4859"/>
    <w:rsid w:val="003A6DCE"/>
    <w:rsid w:val="003A752F"/>
    <w:rsid w:val="003B136B"/>
    <w:rsid w:val="003B1DEE"/>
    <w:rsid w:val="003C2163"/>
    <w:rsid w:val="003C5027"/>
    <w:rsid w:val="003D0F50"/>
    <w:rsid w:val="003D4910"/>
    <w:rsid w:val="003D5685"/>
    <w:rsid w:val="003E1CED"/>
    <w:rsid w:val="003E28FB"/>
    <w:rsid w:val="003E4961"/>
    <w:rsid w:val="003E5B22"/>
    <w:rsid w:val="003E631C"/>
    <w:rsid w:val="003E7626"/>
    <w:rsid w:val="003F0238"/>
    <w:rsid w:val="003F1F5E"/>
    <w:rsid w:val="003F406E"/>
    <w:rsid w:val="003F57B0"/>
    <w:rsid w:val="003F6228"/>
    <w:rsid w:val="003F6594"/>
    <w:rsid w:val="003F6F37"/>
    <w:rsid w:val="00400BD5"/>
    <w:rsid w:val="00401423"/>
    <w:rsid w:val="004031C4"/>
    <w:rsid w:val="00405879"/>
    <w:rsid w:val="00405A96"/>
    <w:rsid w:val="004075DF"/>
    <w:rsid w:val="004105F2"/>
    <w:rsid w:val="004116C9"/>
    <w:rsid w:val="00412648"/>
    <w:rsid w:val="00414C6D"/>
    <w:rsid w:val="00417A5A"/>
    <w:rsid w:val="00420123"/>
    <w:rsid w:val="004202E3"/>
    <w:rsid w:val="004208E5"/>
    <w:rsid w:val="00420B08"/>
    <w:rsid w:val="004217D1"/>
    <w:rsid w:val="0042186F"/>
    <w:rsid w:val="0042281A"/>
    <w:rsid w:val="00423758"/>
    <w:rsid w:val="00426344"/>
    <w:rsid w:val="00430C08"/>
    <w:rsid w:val="004317F1"/>
    <w:rsid w:val="00431980"/>
    <w:rsid w:val="004368D9"/>
    <w:rsid w:val="0044147B"/>
    <w:rsid w:val="004427E6"/>
    <w:rsid w:val="004430B7"/>
    <w:rsid w:val="00443769"/>
    <w:rsid w:val="004440AB"/>
    <w:rsid w:val="0044522D"/>
    <w:rsid w:val="00445285"/>
    <w:rsid w:val="00446474"/>
    <w:rsid w:val="0044773D"/>
    <w:rsid w:val="00453488"/>
    <w:rsid w:val="00463F9B"/>
    <w:rsid w:val="00466D70"/>
    <w:rsid w:val="00466F56"/>
    <w:rsid w:val="00471160"/>
    <w:rsid w:val="00471252"/>
    <w:rsid w:val="004730AA"/>
    <w:rsid w:val="00474197"/>
    <w:rsid w:val="004750EB"/>
    <w:rsid w:val="00475510"/>
    <w:rsid w:val="004807BD"/>
    <w:rsid w:val="0048292A"/>
    <w:rsid w:val="00484972"/>
    <w:rsid w:val="00490378"/>
    <w:rsid w:val="004904A8"/>
    <w:rsid w:val="0049109A"/>
    <w:rsid w:val="004921AF"/>
    <w:rsid w:val="004936EC"/>
    <w:rsid w:val="004948F2"/>
    <w:rsid w:val="00494E16"/>
    <w:rsid w:val="004979B7"/>
    <w:rsid w:val="004A0AF8"/>
    <w:rsid w:val="004A0C1B"/>
    <w:rsid w:val="004A1680"/>
    <w:rsid w:val="004A19A8"/>
    <w:rsid w:val="004A38C3"/>
    <w:rsid w:val="004A5F58"/>
    <w:rsid w:val="004A6AE9"/>
    <w:rsid w:val="004A7E91"/>
    <w:rsid w:val="004B03C8"/>
    <w:rsid w:val="004B3508"/>
    <w:rsid w:val="004B3E90"/>
    <w:rsid w:val="004B5CDC"/>
    <w:rsid w:val="004B69F8"/>
    <w:rsid w:val="004B6BB6"/>
    <w:rsid w:val="004C26AC"/>
    <w:rsid w:val="004C361D"/>
    <w:rsid w:val="004C5A50"/>
    <w:rsid w:val="004D0A2E"/>
    <w:rsid w:val="004D1C11"/>
    <w:rsid w:val="004D219E"/>
    <w:rsid w:val="004D21A3"/>
    <w:rsid w:val="004D2A95"/>
    <w:rsid w:val="004D48C6"/>
    <w:rsid w:val="004D671E"/>
    <w:rsid w:val="004D7AE5"/>
    <w:rsid w:val="004D7B42"/>
    <w:rsid w:val="004D7C16"/>
    <w:rsid w:val="004E06B0"/>
    <w:rsid w:val="004E0C77"/>
    <w:rsid w:val="004E1724"/>
    <w:rsid w:val="004E252B"/>
    <w:rsid w:val="004E4F3D"/>
    <w:rsid w:val="004E59DF"/>
    <w:rsid w:val="004E7D64"/>
    <w:rsid w:val="004E7EEE"/>
    <w:rsid w:val="004F076E"/>
    <w:rsid w:val="004F291D"/>
    <w:rsid w:val="004F4298"/>
    <w:rsid w:val="004F43E5"/>
    <w:rsid w:val="004F6E90"/>
    <w:rsid w:val="005003CD"/>
    <w:rsid w:val="00500DBB"/>
    <w:rsid w:val="00504DDF"/>
    <w:rsid w:val="00507B28"/>
    <w:rsid w:val="005108A3"/>
    <w:rsid w:val="005139D2"/>
    <w:rsid w:val="00513BAC"/>
    <w:rsid w:val="00515BFE"/>
    <w:rsid w:val="00515F51"/>
    <w:rsid w:val="0051634E"/>
    <w:rsid w:val="0052087F"/>
    <w:rsid w:val="00520993"/>
    <w:rsid w:val="0052185C"/>
    <w:rsid w:val="00524E84"/>
    <w:rsid w:val="00531719"/>
    <w:rsid w:val="0053214A"/>
    <w:rsid w:val="005323B0"/>
    <w:rsid w:val="0053641F"/>
    <w:rsid w:val="00541635"/>
    <w:rsid w:val="005419D1"/>
    <w:rsid w:val="00541D0E"/>
    <w:rsid w:val="005423E8"/>
    <w:rsid w:val="00546A73"/>
    <w:rsid w:val="0054780A"/>
    <w:rsid w:val="0055089E"/>
    <w:rsid w:val="00551497"/>
    <w:rsid w:val="00552129"/>
    <w:rsid w:val="005538A2"/>
    <w:rsid w:val="00553EEC"/>
    <w:rsid w:val="005567EA"/>
    <w:rsid w:val="005571C1"/>
    <w:rsid w:val="005578C5"/>
    <w:rsid w:val="005607FD"/>
    <w:rsid w:val="00561292"/>
    <w:rsid w:val="005636C7"/>
    <w:rsid w:val="00564988"/>
    <w:rsid w:val="00570175"/>
    <w:rsid w:val="005702A0"/>
    <w:rsid w:val="00570EED"/>
    <w:rsid w:val="00573BC2"/>
    <w:rsid w:val="00585FAB"/>
    <w:rsid w:val="00587240"/>
    <w:rsid w:val="00592337"/>
    <w:rsid w:val="005926E8"/>
    <w:rsid w:val="00593E2D"/>
    <w:rsid w:val="0059608D"/>
    <w:rsid w:val="005A32AB"/>
    <w:rsid w:val="005B26B4"/>
    <w:rsid w:val="005B289E"/>
    <w:rsid w:val="005B4E3F"/>
    <w:rsid w:val="005B7314"/>
    <w:rsid w:val="005C3D3A"/>
    <w:rsid w:val="005C618D"/>
    <w:rsid w:val="005C710F"/>
    <w:rsid w:val="005D083E"/>
    <w:rsid w:val="005D0E9F"/>
    <w:rsid w:val="005D135A"/>
    <w:rsid w:val="005D152C"/>
    <w:rsid w:val="005D1E20"/>
    <w:rsid w:val="005D6719"/>
    <w:rsid w:val="005D6B58"/>
    <w:rsid w:val="005D723C"/>
    <w:rsid w:val="005D7AA4"/>
    <w:rsid w:val="005E089A"/>
    <w:rsid w:val="005E4996"/>
    <w:rsid w:val="005E7AA2"/>
    <w:rsid w:val="005E7E85"/>
    <w:rsid w:val="005F1AE8"/>
    <w:rsid w:val="005F3657"/>
    <w:rsid w:val="005F36F9"/>
    <w:rsid w:val="005F75D1"/>
    <w:rsid w:val="0060340A"/>
    <w:rsid w:val="00606775"/>
    <w:rsid w:val="00606E0F"/>
    <w:rsid w:val="006108AB"/>
    <w:rsid w:val="006108F8"/>
    <w:rsid w:val="00610B4F"/>
    <w:rsid w:val="00610BF6"/>
    <w:rsid w:val="00610FB7"/>
    <w:rsid w:val="00611DC4"/>
    <w:rsid w:val="00615881"/>
    <w:rsid w:val="00616610"/>
    <w:rsid w:val="00616741"/>
    <w:rsid w:val="00617748"/>
    <w:rsid w:val="00621A1D"/>
    <w:rsid w:val="00624DD0"/>
    <w:rsid w:val="00624DED"/>
    <w:rsid w:val="00626147"/>
    <w:rsid w:val="0062662E"/>
    <w:rsid w:val="00630F26"/>
    <w:rsid w:val="006318E5"/>
    <w:rsid w:val="006350CE"/>
    <w:rsid w:val="00640E60"/>
    <w:rsid w:val="0064402B"/>
    <w:rsid w:val="00645B2F"/>
    <w:rsid w:val="0064751D"/>
    <w:rsid w:val="006509C3"/>
    <w:rsid w:val="0065124E"/>
    <w:rsid w:val="0065226C"/>
    <w:rsid w:val="0065595E"/>
    <w:rsid w:val="00662496"/>
    <w:rsid w:val="0066342F"/>
    <w:rsid w:val="0066400B"/>
    <w:rsid w:val="00664EEF"/>
    <w:rsid w:val="006672BE"/>
    <w:rsid w:val="0067138E"/>
    <w:rsid w:val="006739E7"/>
    <w:rsid w:val="00673F5C"/>
    <w:rsid w:val="00674140"/>
    <w:rsid w:val="00675AA3"/>
    <w:rsid w:val="00676153"/>
    <w:rsid w:val="006776B6"/>
    <w:rsid w:val="00680ACA"/>
    <w:rsid w:val="00683839"/>
    <w:rsid w:val="0068403C"/>
    <w:rsid w:val="00684C16"/>
    <w:rsid w:val="00691945"/>
    <w:rsid w:val="00692504"/>
    <w:rsid w:val="0069357A"/>
    <w:rsid w:val="0069389F"/>
    <w:rsid w:val="00696DF0"/>
    <w:rsid w:val="00697185"/>
    <w:rsid w:val="006A03BF"/>
    <w:rsid w:val="006A094C"/>
    <w:rsid w:val="006A184A"/>
    <w:rsid w:val="006A1C8F"/>
    <w:rsid w:val="006A4AB5"/>
    <w:rsid w:val="006A68DE"/>
    <w:rsid w:val="006B0118"/>
    <w:rsid w:val="006B1468"/>
    <w:rsid w:val="006B4B35"/>
    <w:rsid w:val="006C328F"/>
    <w:rsid w:val="006C3E0C"/>
    <w:rsid w:val="006C6930"/>
    <w:rsid w:val="006C6D0C"/>
    <w:rsid w:val="006D0A41"/>
    <w:rsid w:val="006D0E1A"/>
    <w:rsid w:val="006D445C"/>
    <w:rsid w:val="006D579A"/>
    <w:rsid w:val="006D6107"/>
    <w:rsid w:val="006E58AE"/>
    <w:rsid w:val="006E6755"/>
    <w:rsid w:val="006F2A20"/>
    <w:rsid w:val="006F4BBD"/>
    <w:rsid w:val="006F5289"/>
    <w:rsid w:val="006F5A3B"/>
    <w:rsid w:val="006F65C9"/>
    <w:rsid w:val="006F6E47"/>
    <w:rsid w:val="00700D55"/>
    <w:rsid w:val="00702434"/>
    <w:rsid w:val="0070274A"/>
    <w:rsid w:val="00704B86"/>
    <w:rsid w:val="00706B93"/>
    <w:rsid w:val="00706EE1"/>
    <w:rsid w:val="00710AAF"/>
    <w:rsid w:val="00710E86"/>
    <w:rsid w:val="00710F09"/>
    <w:rsid w:val="00715CA2"/>
    <w:rsid w:val="00720DDB"/>
    <w:rsid w:val="00722432"/>
    <w:rsid w:val="00722E01"/>
    <w:rsid w:val="00723843"/>
    <w:rsid w:val="00724C11"/>
    <w:rsid w:val="00725696"/>
    <w:rsid w:val="00726FF5"/>
    <w:rsid w:val="00732ADC"/>
    <w:rsid w:val="0073617D"/>
    <w:rsid w:val="007362FE"/>
    <w:rsid w:val="00736BB8"/>
    <w:rsid w:val="007429F3"/>
    <w:rsid w:val="00744787"/>
    <w:rsid w:val="0075302A"/>
    <w:rsid w:val="0075373D"/>
    <w:rsid w:val="007547CB"/>
    <w:rsid w:val="00755A8C"/>
    <w:rsid w:val="0075636C"/>
    <w:rsid w:val="007571BD"/>
    <w:rsid w:val="007649FA"/>
    <w:rsid w:val="00766CA1"/>
    <w:rsid w:val="00772E80"/>
    <w:rsid w:val="00773491"/>
    <w:rsid w:val="00774962"/>
    <w:rsid w:val="00776D14"/>
    <w:rsid w:val="00776E5C"/>
    <w:rsid w:val="0077718A"/>
    <w:rsid w:val="00777B8A"/>
    <w:rsid w:val="00777C34"/>
    <w:rsid w:val="00777E99"/>
    <w:rsid w:val="0078138D"/>
    <w:rsid w:val="00782544"/>
    <w:rsid w:val="00783CFB"/>
    <w:rsid w:val="00784F8B"/>
    <w:rsid w:val="00785354"/>
    <w:rsid w:val="00791598"/>
    <w:rsid w:val="00791E19"/>
    <w:rsid w:val="00791F73"/>
    <w:rsid w:val="0079498F"/>
    <w:rsid w:val="0079729A"/>
    <w:rsid w:val="00797D40"/>
    <w:rsid w:val="007A0118"/>
    <w:rsid w:val="007A065A"/>
    <w:rsid w:val="007A1C15"/>
    <w:rsid w:val="007A6A47"/>
    <w:rsid w:val="007A7D2B"/>
    <w:rsid w:val="007B2A52"/>
    <w:rsid w:val="007B5FFB"/>
    <w:rsid w:val="007B6224"/>
    <w:rsid w:val="007C14DE"/>
    <w:rsid w:val="007C1F3D"/>
    <w:rsid w:val="007C40AA"/>
    <w:rsid w:val="007C61EF"/>
    <w:rsid w:val="007C6593"/>
    <w:rsid w:val="007C73A7"/>
    <w:rsid w:val="007C7B21"/>
    <w:rsid w:val="007D08A5"/>
    <w:rsid w:val="007D427F"/>
    <w:rsid w:val="007D5CD5"/>
    <w:rsid w:val="007D675A"/>
    <w:rsid w:val="007E037C"/>
    <w:rsid w:val="007E291D"/>
    <w:rsid w:val="007E5845"/>
    <w:rsid w:val="007E707B"/>
    <w:rsid w:val="007F261A"/>
    <w:rsid w:val="007F2935"/>
    <w:rsid w:val="007F30B0"/>
    <w:rsid w:val="007F3F7C"/>
    <w:rsid w:val="00800795"/>
    <w:rsid w:val="00801160"/>
    <w:rsid w:val="00805F2E"/>
    <w:rsid w:val="0080608F"/>
    <w:rsid w:val="008074FD"/>
    <w:rsid w:val="00810B01"/>
    <w:rsid w:val="00816E14"/>
    <w:rsid w:val="00824059"/>
    <w:rsid w:val="00824838"/>
    <w:rsid w:val="00825686"/>
    <w:rsid w:val="0083057A"/>
    <w:rsid w:val="00833B71"/>
    <w:rsid w:val="0083418E"/>
    <w:rsid w:val="00841961"/>
    <w:rsid w:val="0084664E"/>
    <w:rsid w:val="00846897"/>
    <w:rsid w:val="00853043"/>
    <w:rsid w:val="00854756"/>
    <w:rsid w:val="00855889"/>
    <w:rsid w:val="00857729"/>
    <w:rsid w:val="00862CB0"/>
    <w:rsid w:val="00863008"/>
    <w:rsid w:val="00864B23"/>
    <w:rsid w:val="008665C0"/>
    <w:rsid w:val="00866B0F"/>
    <w:rsid w:val="008702ED"/>
    <w:rsid w:val="00872B46"/>
    <w:rsid w:val="00875263"/>
    <w:rsid w:val="008759C1"/>
    <w:rsid w:val="00876FCE"/>
    <w:rsid w:val="00880E68"/>
    <w:rsid w:val="0088251B"/>
    <w:rsid w:val="00882CDF"/>
    <w:rsid w:val="00883296"/>
    <w:rsid w:val="00884D2E"/>
    <w:rsid w:val="008909C5"/>
    <w:rsid w:val="00891618"/>
    <w:rsid w:val="008928E0"/>
    <w:rsid w:val="008937E8"/>
    <w:rsid w:val="0089572C"/>
    <w:rsid w:val="0089786F"/>
    <w:rsid w:val="008A010C"/>
    <w:rsid w:val="008A1D34"/>
    <w:rsid w:val="008A70B0"/>
    <w:rsid w:val="008A71E1"/>
    <w:rsid w:val="008B118A"/>
    <w:rsid w:val="008B1C61"/>
    <w:rsid w:val="008B37B9"/>
    <w:rsid w:val="008B3869"/>
    <w:rsid w:val="008B4197"/>
    <w:rsid w:val="008B4809"/>
    <w:rsid w:val="008B54E4"/>
    <w:rsid w:val="008B5E08"/>
    <w:rsid w:val="008C1937"/>
    <w:rsid w:val="008C3000"/>
    <w:rsid w:val="008D0831"/>
    <w:rsid w:val="008D0A02"/>
    <w:rsid w:val="008D1991"/>
    <w:rsid w:val="008D2612"/>
    <w:rsid w:val="008D26F8"/>
    <w:rsid w:val="008D3451"/>
    <w:rsid w:val="008D3C78"/>
    <w:rsid w:val="008D3CD7"/>
    <w:rsid w:val="008D57D3"/>
    <w:rsid w:val="008D6B6C"/>
    <w:rsid w:val="008D6F12"/>
    <w:rsid w:val="008E1456"/>
    <w:rsid w:val="008E2D4B"/>
    <w:rsid w:val="008E5595"/>
    <w:rsid w:val="008F0E83"/>
    <w:rsid w:val="008F1368"/>
    <w:rsid w:val="008F16D1"/>
    <w:rsid w:val="008F485D"/>
    <w:rsid w:val="008F6DE5"/>
    <w:rsid w:val="008F6E0B"/>
    <w:rsid w:val="00900173"/>
    <w:rsid w:val="00902722"/>
    <w:rsid w:val="00902F08"/>
    <w:rsid w:val="00903346"/>
    <w:rsid w:val="009034BC"/>
    <w:rsid w:val="00910562"/>
    <w:rsid w:val="00913C67"/>
    <w:rsid w:val="0091458A"/>
    <w:rsid w:val="00914C3C"/>
    <w:rsid w:val="00920E87"/>
    <w:rsid w:val="009248BC"/>
    <w:rsid w:val="00925600"/>
    <w:rsid w:val="009305AE"/>
    <w:rsid w:val="00931661"/>
    <w:rsid w:val="009347D9"/>
    <w:rsid w:val="00934FD0"/>
    <w:rsid w:val="00940D26"/>
    <w:rsid w:val="00944FAB"/>
    <w:rsid w:val="00947CED"/>
    <w:rsid w:val="00950B96"/>
    <w:rsid w:val="009515F9"/>
    <w:rsid w:val="00954C7C"/>
    <w:rsid w:val="0095717A"/>
    <w:rsid w:val="00957B4D"/>
    <w:rsid w:val="009603C3"/>
    <w:rsid w:val="00960C99"/>
    <w:rsid w:val="00966DEF"/>
    <w:rsid w:val="009670DC"/>
    <w:rsid w:val="0096722A"/>
    <w:rsid w:val="009726B6"/>
    <w:rsid w:val="009734EC"/>
    <w:rsid w:val="009772A5"/>
    <w:rsid w:val="0098043E"/>
    <w:rsid w:val="0098101E"/>
    <w:rsid w:val="00983866"/>
    <w:rsid w:val="00985F7A"/>
    <w:rsid w:val="00990BF7"/>
    <w:rsid w:val="009943F6"/>
    <w:rsid w:val="00994AF5"/>
    <w:rsid w:val="009A0613"/>
    <w:rsid w:val="009A1142"/>
    <w:rsid w:val="009A1EA9"/>
    <w:rsid w:val="009A1EC2"/>
    <w:rsid w:val="009A30F1"/>
    <w:rsid w:val="009A47AD"/>
    <w:rsid w:val="009A5D7B"/>
    <w:rsid w:val="009B2342"/>
    <w:rsid w:val="009B23A9"/>
    <w:rsid w:val="009B3A97"/>
    <w:rsid w:val="009B4699"/>
    <w:rsid w:val="009B7B5C"/>
    <w:rsid w:val="009C0910"/>
    <w:rsid w:val="009C2253"/>
    <w:rsid w:val="009C2A50"/>
    <w:rsid w:val="009C3F0A"/>
    <w:rsid w:val="009C476C"/>
    <w:rsid w:val="009C5CC2"/>
    <w:rsid w:val="009C6502"/>
    <w:rsid w:val="009C79DD"/>
    <w:rsid w:val="009D037B"/>
    <w:rsid w:val="009D3774"/>
    <w:rsid w:val="009D3888"/>
    <w:rsid w:val="009D46A4"/>
    <w:rsid w:val="009D561B"/>
    <w:rsid w:val="009D72E3"/>
    <w:rsid w:val="009E0E7E"/>
    <w:rsid w:val="009E20F2"/>
    <w:rsid w:val="009E23DF"/>
    <w:rsid w:val="009E2538"/>
    <w:rsid w:val="009E2D87"/>
    <w:rsid w:val="009E4067"/>
    <w:rsid w:val="009F1656"/>
    <w:rsid w:val="009F2040"/>
    <w:rsid w:val="009F3592"/>
    <w:rsid w:val="009F659D"/>
    <w:rsid w:val="009F6730"/>
    <w:rsid w:val="009F7A56"/>
    <w:rsid w:val="009F7BF6"/>
    <w:rsid w:val="00A00573"/>
    <w:rsid w:val="00A00645"/>
    <w:rsid w:val="00A00942"/>
    <w:rsid w:val="00A00EB1"/>
    <w:rsid w:val="00A010EF"/>
    <w:rsid w:val="00A028DC"/>
    <w:rsid w:val="00A03391"/>
    <w:rsid w:val="00A049E4"/>
    <w:rsid w:val="00A06746"/>
    <w:rsid w:val="00A07BAE"/>
    <w:rsid w:val="00A12278"/>
    <w:rsid w:val="00A146C2"/>
    <w:rsid w:val="00A160A8"/>
    <w:rsid w:val="00A1627B"/>
    <w:rsid w:val="00A175A7"/>
    <w:rsid w:val="00A21868"/>
    <w:rsid w:val="00A21DBC"/>
    <w:rsid w:val="00A22898"/>
    <w:rsid w:val="00A233C9"/>
    <w:rsid w:val="00A25CB1"/>
    <w:rsid w:val="00A26323"/>
    <w:rsid w:val="00A264E6"/>
    <w:rsid w:val="00A26ACE"/>
    <w:rsid w:val="00A27B6F"/>
    <w:rsid w:val="00A30CE4"/>
    <w:rsid w:val="00A314BA"/>
    <w:rsid w:val="00A31A4F"/>
    <w:rsid w:val="00A32358"/>
    <w:rsid w:val="00A34E1D"/>
    <w:rsid w:val="00A403A2"/>
    <w:rsid w:val="00A41AC4"/>
    <w:rsid w:val="00A41E94"/>
    <w:rsid w:val="00A4481A"/>
    <w:rsid w:val="00A46AA5"/>
    <w:rsid w:val="00A46F18"/>
    <w:rsid w:val="00A508AD"/>
    <w:rsid w:val="00A53BBA"/>
    <w:rsid w:val="00A55834"/>
    <w:rsid w:val="00A56F7E"/>
    <w:rsid w:val="00A574B6"/>
    <w:rsid w:val="00A646F9"/>
    <w:rsid w:val="00A64829"/>
    <w:rsid w:val="00A66107"/>
    <w:rsid w:val="00A7372F"/>
    <w:rsid w:val="00A7577F"/>
    <w:rsid w:val="00A812CF"/>
    <w:rsid w:val="00A878FD"/>
    <w:rsid w:val="00A901FA"/>
    <w:rsid w:val="00A926A2"/>
    <w:rsid w:val="00A93D52"/>
    <w:rsid w:val="00A9696C"/>
    <w:rsid w:val="00AA2347"/>
    <w:rsid w:val="00AA30DC"/>
    <w:rsid w:val="00AA6F27"/>
    <w:rsid w:val="00AA7C08"/>
    <w:rsid w:val="00AB1D1F"/>
    <w:rsid w:val="00AB51C5"/>
    <w:rsid w:val="00AB5661"/>
    <w:rsid w:val="00AB57D8"/>
    <w:rsid w:val="00AC0A7D"/>
    <w:rsid w:val="00AC1C83"/>
    <w:rsid w:val="00AC2693"/>
    <w:rsid w:val="00AC31DA"/>
    <w:rsid w:val="00AC3D56"/>
    <w:rsid w:val="00AC754E"/>
    <w:rsid w:val="00AD1711"/>
    <w:rsid w:val="00AD1F85"/>
    <w:rsid w:val="00AD2770"/>
    <w:rsid w:val="00AD28C1"/>
    <w:rsid w:val="00AD3B97"/>
    <w:rsid w:val="00AD4F70"/>
    <w:rsid w:val="00AD5410"/>
    <w:rsid w:val="00AD6337"/>
    <w:rsid w:val="00AD7E26"/>
    <w:rsid w:val="00AE15AE"/>
    <w:rsid w:val="00AE206C"/>
    <w:rsid w:val="00AE2447"/>
    <w:rsid w:val="00AE3E42"/>
    <w:rsid w:val="00AE4FE7"/>
    <w:rsid w:val="00AE6C16"/>
    <w:rsid w:val="00AF388A"/>
    <w:rsid w:val="00AF3978"/>
    <w:rsid w:val="00AF4AF7"/>
    <w:rsid w:val="00AF68E6"/>
    <w:rsid w:val="00AF6DC7"/>
    <w:rsid w:val="00AF7603"/>
    <w:rsid w:val="00B012D7"/>
    <w:rsid w:val="00B01C43"/>
    <w:rsid w:val="00B030FF"/>
    <w:rsid w:val="00B03798"/>
    <w:rsid w:val="00B03816"/>
    <w:rsid w:val="00B05C8D"/>
    <w:rsid w:val="00B05EDC"/>
    <w:rsid w:val="00B05F1F"/>
    <w:rsid w:val="00B06005"/>
    <w:rsid w:val="00B11751"/>
    <w:rsid w:val="00B12994"/>
    <w:rsid w:val="00B16ED6"/>
    <w:rsid w:val="00B175A6"/>
    <w:rsid w:val="00B20378"/>
    <w:rsid w:val="00B21D9F"/>
    <w:rsid w:val="00B21E8D"/>
    <w:rsid w:val="00B22829"/>
    <w:rsid w:val="00B229E0"/>
    <w:rsid w:val="00B22AB7"/>
    <w:rsid w:val="00B24D1C"/>
    <w:rsid w:val="00B26635"/>
    <w:rsid w:val="00B3308C"/>
    <w:rsid w:val="00B338EA"/>
    <w:rsid w:val="00B373F7"/>
    <w:rsid w:val="00B40027"/>
    <w:rsid w:val="00B41A61"/>
    <w:rsid w:val="00B52061"/>
    <w:rsid w:val="00B52184"/>
    <w:rsid w:val="00B5659C"/>
    <w:rsid w:val="00B577B6"/>
    <w:rsid w:val="00B61A77"/>
    <w:rsid w:val="00B626E4"/>
    <w:rsid w:val="00B648EF"/>
    <w:rsid w:val="00B64F4A"/>
    <w:rsid w:val="00B67211"/>
    <w:rsid w:val="00B702EF"/>
    <w:rsid w:val="00B744A0"/>
    <w:rsid w:val="00B749F2"/>
    <w:rsid w:val="00B818D3"/>
    <w:rsid w:val="00B82466"/>
    <w:rsid w:val="00B82733"/>
    <w:rsid w:val="00B82AFC"/>
    <w:rsid w:val="00B851F0"/>
    <w:rsid w:val="00B8706C"/>
    <w:rsid w:val="00B876BF"/>
    <w:rsid w:val="00B9280C"/>
    <w:rsid w:val="00B93A79"/>
    <w:rsid w:val="00B94B84"/>
    <w:rsid w:val="00B950D7"/>
    <w:rsid w:val="00B95B79"/>
    <w:rsid w:val="00B96A36"/>
    <w:rsid w:val="00BA21A9"/>
    <w:rsid w:val="00BA4130"/>
    <w:rsid w:val="00BA4B46"/>
    <w:rsid w:val="00BB00B6"/>
    <w:rsid w:val="00BB2900"/>
    <w:rsid w:val="00BB3FDB"/>
    <w:rsid w:val="00BC07EF"/>
    <w:rsid w:val="00BC0A34"/>
    <w:rsid w:val="00BC0BFA"/>
    <w:rsid w:val="00BC3983"/>
    <w:rsid w:val="00BC533A"/>
    <w:rsid w:val="00BD3188"/>
    <w:rsid w:val="00BD42D8"/>
    <w:rsid w:val="00BD5C8D"/>
    <w:rsid w:val="00BD617F"/>
    <w:rsid w:val="00BE03A6"/>
    <w:rsid w:val="00BE04F3"/>
    <w:rsid w:val="00BE1DF5"/>
    <w:rsid w:val="00BE20F0"/>
    <w:rsid w:val="00BE25B0"/>
    <w:rsid w:val="00BE3DC9"/>
    <w:rsid w:val="00BE3E11"/>
    <w:rsid w:val="00BE6D90"/>
    <w:rsid w:val="00BF0002"/>
    <w:rsid w:val="00BF2D4C"/>
    <w:rsid w:val="00BF5514"/>
    <w:rsid w:val="00C00614"/>
    <w:rsid w:val="00C02AF0"/>
    <w:rsid w:val="00C03435"/>
    <w:rsid w:val="00C04361"/>
    <w:rsid w:val="00C05654"/>
    <w:rsid w:val="00C06797"/>
    <w:rsid w:val="00C103A5"/>
    <w:rsid w:val="00C103E8"/>
    <w:rsid w:val="00C1054D"/>
    <w:rsid w:val="00C111B7"/>
    <w:rsid w:val="00C17473"/>
    <w:rsid w:val="00C25D18"/>
    <w:rsid w:val="00C27558"/>
    <w:rsid w:val="00C2799F"/>
    <w:rsid w:val="00C32753"/>
    <w:rsid w:val="00C32B5A"/>
    <w:rsid w:val="00C35207"/>
    <w:rsid w:val="00C356ED"/>
    <w:rsid w:val="00C42E78"/>
    <w:rsid w:val="00C431A4"/>
    <w:rsid w:val="00C43A89"/>
    <w:rsid w:val="00C45BF6"/>
    <w:rsid w:val="00C47D8F"/>
    <w:rsid w:val="00C5286D"/>
    <w:rsid w:val="00C55BFB"/>
    <w:rsid w:val="00C572C1"/>
    <w:rsid w:val="00C57CEA"/>
    <w:rsid w:val="00C606B6"/>
    <w:rsid w:val="00C612AA"/>
    <w:rsid w:val="00C614E8"/>
    <w:rsid w:val="00C6267D"/>
    <w:rsid w:val="00C653D1"/>
    <w:rsid w:val="00C6665F"/>
    <w:rsid w:val="00C716FA"/>
    <w:rsid w:val="00C73CED"/>
    <w:rsid w:val="00C756D7"/>
    <w:rsid w:val="00C757CD"/>
    <w:rsid w:val="00C75856"/>
    <w:rsid w:val="00C75D62"/>
    <w:rsid w:val="00C779CF"/>
    <w:rsid w:val="00C8036F"/>
    <w:rsid w:val="00C80F46"/>
    <w:rsid w:val="00C81658"/>
    <w:rsid w:val="00C8228F"/>
    <w:rsid w:val="00C86956"/>
    <w:rsid w:val="00C87B0E"/>
    <w:rsid w:val="00C9182C"/>
    <w:rsid w:val="00C92D01"/>
    <w:rsid w:val="00C93229"/>
    <w:rsid w:val="00C94760"/>
    <w:rsid w:val="00C9558A"/>
    <w:rsid w:val="00C97FDC"/>
    <w:rsid w:val="00CA2470"/>
    <w:rsid w:val="00CA3A53"/>
    <w:rsid w:val="00CA6DB0"/>
    <w:rsid w:val="00CB19B1"/>
    <w:rsid w:val="00CB3145"/>
    <w:rsid w:val="00CB6D39"/>
    <w:rsid w:val="00CC2ECE"/>
    <w:rsid w:val="00CC38A9"/>
    <w:rsid w:val="00CC3CA7"/>
    <w:rsid w:val="00CC452C"/>
    <w:rsid w:val="00CC4B04"/>
    <w:rsid w:val="00CC60C7"/>
    <w:rsid w:val="00CD0376"/>
    <w:rsid w:val="00CD077E"/>
    <w:rsid w:val="00CD5771"/>
    <w:rsid w:val="00CD696B"/>
    <w:rsid w:val="00CE1C08"/>
    <w:rsid w:val="00CE58A4"/>
    <w:rsid w:val="00CE5A98"/>
    <w:rsid w:val="00CF0A4A"/>
    <w:rsid w:val="00CF402C"/>
    <w:rsid w:val="00CF53BB"/>
    <w:rsid w:val="00CF6EF9"/>
    <w:rsid w:val="00CF738E"/>
    <w:rsid w:val="00CF7B17"/>
    <w:rsid w:val="00D003F1"/>
    <w:rsid w:val="00D06BD2"/>
    <w:rsid w:val="00D07D28"/>
    <w:rsid w:val="00D11A73"/>
    <w:rsid w:val="00D11B50"/>
    <w:rsid w:val="00D13B70"/>
    <w:rsid w:val="00D154B8"/>
    <w:rsid w:val="00D1595F"/>
    <w:rsid w:val="00D165C0"/>
    <w:rsid w:val="00D16C04"/>
    <w:rsid w:val="00D2192F"/>
    <w:rsid w:val="00D27AB9"/>
    <w:rsid w:val="00D3151A"/>
    <w:rsid w:val="00D31B40"/>
    <w:rsid w:val="00D37A44"/>
    <w:rsid w:val="00D41BC5"/>
    <w:rsid w:val="00D44398"/>
    <w:rsid w:val="00D50DBC"/>
    <w:rsid w:val="00D512E0"/>
    <w:rsid w:val="00D53A01"/>
    <w:rsid w:val="00D55AAE"/>
    <w:rsid w:val="00D5689F"/>
    <w:rsid w:val="00D62347"/>
    <w:rsid w:val="00D6271A"/>
    <w:rsid w:val="00D629D6"/>
    <w:rsid w:val="00D63D97"/>
    <w:rsid w:val="00D63DD0"/>
    <w:rsid w:val="00D6546B"/>
    <w:rsid w:val="00D665BB"/>
    <w:rsid w:val="00D66E43"/>
    <w:rsid w:val="00D71D2E"/>
    <w:rsid w:val="00D72192"/>
    <w:rsid w:val="00D749EA"/>
    <w:rsid w:val="00D76F21"/>
    <w:rsid w:val="00D80191"/>
    <w:rsid w:val="00D80F8D"/>
    <w:rsid w:val="00D8114A"/>
    <w:rsid w:val="00D814F3"/>
    <w:rsid w:val="00D81552"/>
    <w:rsid w:val="00D83E76"/>
    <w:rsid w:val="00D85B94"/>
    <w:rsid w:val="00D91C26"/>
    <w:rsid w:val="00D921C6"/>
    <w:rsid w:val="00D93DBA"/>
    <w:rsid w:val="00D9409E"/>
    <w:rsid w:val="00DA2F7F"/>
    <w:rsid w:val="00DA3B08"/>
    <w:rsid w:val="00DA4F64"/>
    <w:rsid w:val="00DA5324"/>
    <w:rsid w:val="00DB01DC"/>
    <w:rsid w:val="00DB022C"/>
    <w:rsid w:val="00DB3918"/>
    <w:rsid w:val="00DB4279"/>
    <w:rsid w:val="00DB49CA"/>
    <w:rsid w:val="00DB535D"/>
    <w:rsid w:val="00DB6008"/>
    <w:rsid w:val="00DC56CE"/>
    <w:rsid w:val="00DC5815"/>
    <w:rsid w:val="00DC636C"/>
    <w:rsid w:val="00DC7DB8"/>
    <w:rsid w:val="00DD0C14"/>
    <w:rsid w:val="00DD0E28"/>
    <w:rsid w:val="00DD1539"/>
    <w:rsid w:val="00DD1CF4"/>
    <w:rsid w:val="00DD31F9"/>
    <w:rsid w:val="00DE2A30"/>
    <w:rsid w:val="00DE51E5"/>
    <w:rsid w:val="00DE6028"/>
    <w:rsid w:val="00DE6501"/>
    <w:rsid w:val="00DF23DD"/>
    <w:rsid w:val="00DF284F"/>
    <w:rsid w:val="00E02002"/>
    <w:rsid w:val="00E02A38"/>
    <w:rsid w:val="00E03C85"/>
    <w:rsid w:val="00E052AD"/>
    <w:rsid w:val="00E05CBC"/>
    <w:rsid w:val="00E05F3F"/>
    <w:rsid w:val="00E06A1A"/>
    <w:rsid w:val="00E1068F"/>
    <w:rsid w:val="00E10BCC"/>
    <w:rsid w:val="00E1139D"/>
    <w:rsid w:val="00E11B35"/>
    <w:rsid w:val="00E150E9"/>
    <w:rsid w:val="00E15C93"/>
    <w:rsid w:val="00E16477"/>
    <w:rsid w:val="00E17411"/>
    <w:rsid w:val="00E17A9A"/>
    <w:rsid w:val="00E2011A"/>
    <w:rsid w:val="00E2247B"/>
    <w:rsid w:val="00E23B10"/>
    <w:rsid w:val="00E23DDE"/>
    <w:rsid w:val="00E26CAB"/>
    <w:rsid w:val="00E27745"/>
    <w:rsid w:val="00E3017C"/>
    <w:rsid w:val="00E30772"/>
    <w:rsid w:val="00E31B0B"/>
    <w:rsid w:val="00E338F5"/>
    <w:rsid w:val="00E41D1A"/>
    <w:rsid w:val="00E4263B"/>
    <w:rsid w:val="00E44917"/>
    <w:rsid w:val="00E456AE"/>
    <w:rsid w:val="00E4590B"/>
    <w:rsid w:val="00E45F10"/>
    <w:rsid w:val="00E46FD9"/>
    <w:rsid w:val="00E4730A"/>
    <w:rsid w:val="00E519DF"/>
    <w:rsid w:val="00E52C3B"/>
    <w:rsid w:val="00E530DD"/>
    <w:rsid w:val="00E53F27"/>
    <w:rsid w:val="00E54028"/>
    <w:rsid w:val="00E5474D"/>
    <w:rsid w:val="00E5728A"/>
    <w:rsid w:val="00E577CB"/>
    <w:rsid w:val="00E62886"/>
    <w:rsid w:val="00E6478C"/>
    <w:rsid w:val="00E65269"/>
    <w:rsid w:val="00E65E44"/>
    <w:rsid w:val="00E67366"/>
    <w:rsid w:val="00E6742C"/>
    <w:rsid w:val="00E67D16"/>
    <w:rsid w:val="00E71BD9"/>
    <w:rsid w:val="00E72DAF"/>
    <w:rsid w:val="00E72ED5"/>
    <w:rsid w:val="00E75F5B"/>
    <w:rsid w:val="00E765CF"/>
    <w:rsid w:val="00E7695E"/>
    <w:rsid w:val="00E8016F"/>
    <w:rsid w:val="00E807E3"/>
    <w:rsid w:val="00E8134D"/>
    <w:rsid w:val="00E841E9"/>
    <w:rsid w:val="00E847B4"/>
    <w:rsid w:val="00E867DA"/>
    <w:rsid w:val="00E86B4E"/>
    <w:rsid w:val="00E875A4"/>
    <w:rsid w:val="00E87913"/>
    <w:rsid w:val="00E87CF2"/>
    <w:rsid w:val="00E90F14"/>
    <w:rsid w:val="00E91E46"/>
    <w:rsid w:val="00E92636"/>
    <w:rsid w:val="00E937E3"/>
    <w:rsid w:val="00E9403B"/>
    <w:rsid w:val="00E94613"/>
    <w:rsid w:val="00E94A24"/>
    <w:rsid w:val="00E94D11"/>
    <w:rsid w:val="00E95998"/>
    <w:rsid w:val="00EA0225"/>
    <w:rsid w:val="00EA2558"/>
    <w:rsid w:val="00EA2733"/>
    <w:rsid w:val="00EA3E4D"/>
    <w:rsid w:val="00EA554D"/>
    <w:rsid w:val="00EA57E4"/>
    <w:rsid w:val="00EA5C92"/>
    <w:rsid w:val="00EA6835"/>
    <w:rsid w:val="00EB0D66"/>
    <w:rsid w:val="00EB2F0F"/>
    <w:rsid w:val="00EB4511"/>
    <w:rsid w:val="00EB474A"/>
    <w:rsid w:val="00EC1184"/>
    <w:rsid w:val="00EC276C"/>
    <w:rsid w:val="00EC3973"/>
    <w:rsid w:val="00EC6BDD"/>
    <w:rsid w:val="00EC7A62"/>
    <w:rsid w:val="00ED0041"/>
    <w:rsid w:val="00ED1106"/>
    <w:rsid w:val="00ED2841"/>
    <w:rsid w:val="00ED4139"/>
    <w:rsid w:val="00ED7412"/>
    <w:rsid w:val="00EE024C"/>
    <w:rsid w:val="00EE0AA6"/>
    <w:rsid w:val="00EE0D02"/>
    <w:rsid w:val="00EE1DAF"/>
    <w:rsid w:val="00EE2C83"/>
    <w:rsid w:val="00EE42E5"/>
    <w:rsid w:val="00EE4DDB"/>
    <w:rsid w:val="00EF03FE"/>
    <w:rsid w:val="00EF1856"/>
    <w:rsid w:val="00EF2CCC"/>
    <w:rsid w:val="00EF2D5B"/>
    <w:rsid w:val="00EF4973"/>
    <w:rsid w:val="00EF5BBB"/>
    <w:rsid w:val="00F01A62"/>
    <w:rsid w:val="00F01C8A"/>
    <w:rsid w:val="00F01FB5"/>
    <w:rsid w:val="00F02B9F"/>
    <w:rsid w:val="00F02E4E"/>
    <w:rsid w:val="00F05E74"/>
    <w:rsid w:val="00F07BF6"/>
    <w:rsid w:val="00F11B1C"/>
    <w:rsid w:val="00F120E3"/>
    <w:rsid w:val="00F13A4A"/>
    <w:rsid w:val="00F13A72"/>
    <w:rsid w:val="00F14B4A"/>
    <w:rsid w:val="00F15285"/>
    <w:rsid w:val="00F157A6"/>
    <w:rsid w:val="00F20F6F"/>
    <w:rsid w:val="00F22279"/>
    <w:rsid w:val="00F237B5"/>
    <w:rsid w:val="00F328A3"/>
    <w:rsid w:val="00F34560"/>
    <w:rsid w:val="00F34C73"/>
    <w:rsid w:val="00F359C2"/>
    <w:rsid w:val="00F36971"/>
    <w:rsid w:val="00F44EF2"/>
    <w:rsid w:val="00F453B9"/>
    <w:rsid w:val="00F46DB3"/>
    <w:rsid w:val="00F51456"/>
    <w:rsid w:val="00F526BD"/>
    <w:rsid w:val="00F5297D"/>
    <w:rsid w:val="00F561A5"/>
    <w:rsid w:val="00F569CA"/>
    <w:rsid w:val="00F5752C"/>
    <w:rsid w:val="00F57839"/>
    <w:rsid w:val="00F634F0"/>
    <w:rsid w:val="00F63AC2"/>
    <w:rsid w:val="00F67AD2"/>
    <w:rsid w:val="00F760A5"/>
    <w:rsid w:val="00F7761F"/>
    <w:rsid w:val="00F8212F"/>
    <w:rsid w:val="00F84593"/>
    <w:rsid w:val="00F85980"/>
    <w:rsid w:val="00F91B71"/>
    <w:rsid w:val="00F96C95"/>
    <w:rsid w:val="00F97E46"/>
    <w:rsid w:val="00FA31EE"/>
    <w:rsid w:val="00FA45E1"/>
    <w:rsid w:val="00FA4644"/>
    <w:rsid w:val="00FA68F2"/>
    <w:rsid w:val="00FA7BB2"/>
    <w:rsid w:val="00FB7BBE"/>
    <w:rsid w:val="00FC0246"/>
    <w:rsid w:val="00FC25E6"/>
    <w:rsid w:val="00FC6A0A"/>
    <w:rsid w:val="00FD0AF0"/>
    <w:rsid w:val="00FD20E1"/>
    <w:rsid w:val="00FD27F8"/>
    <w:rsid w:val="00FD3D3C"/>
    <w:rsid w:val="00FD724B"/>
    <w:rsid w:val="00FE19E7"/>
    <w:rsid w:val="00FE4B8A"/>
    <w:rsid w:val="00FF063C"/>
    <w:rsid w:val="00FF1EAE"/>
    <w:rsid w:val="00FF3971"/>
    <w:rsid w:val="00FF5DDD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4A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338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38EA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338EA"/>
  </w:style>
  <w:style w:type="paragraph" w:styleId="Title">
    <w:name w:val="Title"/>
    <w:basedOn w:val="Normal"/>
    <w:link w:val="TitleChar"/>
    <w:qFormat/>
    <w:rsid w:val="00B338EA"/>
    <w:pPr>
      <w:ind w:left="0" w:firstLine="0"/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338EA"/>
    <w:rPr>
      <w:rFonts w:ascii="Times New Roman" w:eastAsia="Times New Roman" w:hAnsi="Times New Roman" w:cs="Times New Roman"/>
      <w:b/>
      <w:sz w:val="20"/>
      <w:szCs w:val="20"/>
      <w:lang w:val="hr-HR"/>
    </w:rPr>
  </w:style>
  <w:style w:type="table" w:styleId="TableGrid">
    <w:name w:val="Table Grid"/>
    <w:basedOn w:val="TableNormal"/>
    <w:uiPriority w:val="59"/>
    <w:rsid w:val="00B338EA"/>
    <w:pPr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0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ptop\AppData\Local\Temp\Budzet%20BPKG%202007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ptop\AppData\Local\Temp\Budzet%20BPKG%202007%20-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ptop\AppData\Local\Temp\Budzet%20BPKG%202007%20-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ptop\AppData\Local\Temp\Budzet%20BPKG%202007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Sheet3!$C$31</c:f>
              <c:strCache>
                <c:ptCount val="1"/>
                <c:pt idx="0">
                  <c:v>Vlastiti prihodi</c:v>
                </c:pt>
              </c:strCache>
            </c:strRef>
          </c:tx>
          <c:marker>
            <c:symbol val="none"/>
          </c:marker>
          <c:cat>
            <c:numRef>
              <c:f>Sheet3!$D$30:$K$30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Sheet3!$D$31:$K$31</c:f>
              <c:numCache>
                <c:formatCode>#,##0</c:formatCode>
                <c:ptCount val="8"/>
                <c:pt idx="0">
                  <c:v>28128957</c:v>
                </c:pt>
                <c:pt idx="1">
                  <c:v>30300000</c:v>
                </c:pt>
                <c:pt idx="2">
                  <c:v>31949171</c:v>
                </c:pt>
                <c:pt idx="3">
                  <c:v>27492838</c:v>
                </c:pt>
                <c:pt idx="4">
                  <c:v>31154395</c:v>
                </c:pt>
                <c:pt idx="5">
                  <c:v>31441790</c:v>
                </c:pt>
                <c:pt idx="6">
                  <c:v>32517528</c:v>
                </c:pt>
                <c:pt idx="7">
                  <c:v>30024357</c:v>
                </c:pt>
              </c:numCache>
            </c:numRef>
          </c:val>
        </c:ser>
        <c:ser>
          <c:idx val="1"/>
          <c:order val="1"/>
          <c:tx>
            <c:strRef>
              <c:f>Sheet3!$C$32</c:f>
              <c:strCache>
                <c:ptCount val="1"/>
                <c:pt idx="0">
                  <c:v>Ukupni rashodi</c:v>
                </c:pt>
              </c:strCache>
            </c:strRef>
          </c:tx>
          <c:marker>
            <c:symbol val="none"/>
          </c:marker>
          <c:cat>
            <c:numRef>
              <c:f>Sheet3!$D$30:$K$30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Sheet3!$D$32:$K$32</c:f>
              <c:numCache>
                <c:formatCode>#,##0</c:formatCode>
                <c:ptCount val="8"/>
                <c:pt idx="0">
                  <c:v>40760957</c:v>
                </c:pt>
                <c:pt idx="1">
                  <c:v>47769205</c:v>
                </c:pt>
                <c:pt idx="2">
                  <c:v>39518948</c:v>
                </c:pt>
                <c:pt idx="3">
                  <c:v>39853668</c:v>
                </c:pt>
                <c:pt idx="4">
                  <c:v>45171528</c:v>
                </c:pt>
                <c:pt idx="5">
                  <c:v>43819340</c:v>
                </c:pt>
                <c:pt idx="6">
                  <c:v>39950216</c:v>
                </c:pt>
                <c:pt idx="7">
                  <c:v>42011084</c:v>
                </c:pt>
              </c:numCache>
            </c:numRef>
          </c:val>
        </c:ser>
        <c:marker val="1"/>
        <c:axId val="61609472"/>
        <c:axId val="61718528"/>
      </c:lineChart>
      <c:catAx>
        <c:axId val="61609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1718528"/>
        <c:crosses val="autoZero"/>
        <c:auto val="1"/>
        <c:lblAlgn val="ctr"/>
        <c:lblOffset val="100"/>
      </c:catAx>
      <c:valAx>
        <c:axId val="61718528"/>
        <c:scaling>
          <c:orientation val="minMax"/>
          <c:max val="50000000"/>
          <c:min val="20000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160947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Sheet3!$C$35</c:f>
              <c:strCache>
                <c:ptCount val="1"/>
                <c:pt idx="0">
                  <c:v>Prihodi od poreza u Budžetu BPK Goražde</c:v>
                </c:pt>
              </c:strCache>
            </c:strRef>
          </c:tx>
          <c:marker>
            <c:symbol val="none"/>
          </c:marker>
          <c:cat>
            <c:numRef>
              <c:f>Sheet3!$D$34:$K$34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Sheet3!$D$35:$K$35</c:f>
              <c:numCache>
                <c:formatCode>#,##0</c:formatCode>
                <c:ptCount val="8"/>
                <c:pt idx="0">
                  <c:v>25775957</c:v>
                </c:pt>
                <c:pt idx="1">
                  <c:v>28000000</c:v>
                </c:pt>
                <c:pt idx="2">
                  <c:v>29881177</c:v>
                </c:pt>
                <c:pt idx="3">
                  <c:v>25084958</c:v>
                </c:pt>
                <c:pt idx="4">
                  <c:v>28686275</c:v>
                </c:pt>
                <c:pt idx="5">
                  <c:v>29406384</c:v>
                </c:pt>
                <c:pt idx="6">
                  <c:v>29580636</c:v>
                </c:pt>
                <c:pt idx="7">
                  <c:v>25921703</c:v>
                </c:pt>
              </c:numCache>
            </c:numRef>
          </c:val>
        </c:ser>
        <c:marker val="1"/>
        <c:axId val="61971072"/>
        <c:axId val="61986688"/>
      </c:lineChart>
      <c:catAx>
        <c:axId val="61971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1986688"/>
        <c:crosses val="autoZero"/>
        <c:auto val="1"/>
        <c:lblAlgn val="ctr"/>
        <c:lblOffset val="100"/>
      </c:catAx>
      <c:valAx>
        <c:axId val="61986688"/>
        <c:scaling>
          <c:orientation val="minMax"/>
          <c:max val="31000000"/>
          <c:min val="20000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197107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Sheet3!$C$38</c:f>
              <c:strCache>
                <c:ptCount val="1"/>
                <c:pt idx="0">
                  <c:v>Neporezni prihodi BPK Goražde</c:v>
                </c:pt>
              </c:strCache>
            </c:strRef>
          </c:tx>
          <c:marker>
            <c:symbol val="none"/>
          </c:marker>
          <c:cat>
            <c:numRef>
              <c:f>Sheet3!$D$37:$K$37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Sheet3!$D$38:$K$38</c:f>
              <c:numCache>
                <c:formatCode>#,##0</c:formatCode>
                <c:ptCount val="8"/>
                <c:pt idx="0">
                  <c:v>2353000</c:v>
                </c:pt>
                <c:pt idx="1">
                  <c:v>2300000</c:v>
                </c:pt>
                <c:pt idx="2">
                  <c:v>2067994</c:v>
                </c:pt>
                <c:pt idx="3">
                  <c:v>2407880</c:v>
                </c:pt>
                <c:pt idx="4">
                  <c:v>2468120</c:v>
                </c:pt>
                <c:pt idx="5">
                  <c:v>2035406</c:v>
                </c:pt>
                <c:pt idx="6">
                  <c:v>2936892</c:v>
                </c:pt>
                <c:pt idx="7">
                  <c:v>4102654</c:v>
                </c:pt>
              </c:numCache>
            </c:numRef>
          </c:val>
        </c:ser>
        <c:marker val="1"/>
        <c:axId val="62774656"/>
        <c:axId val="67106304"/>
      </c:lineChart>
      <c:catAx>
        <c:axId val="627746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7106304"/>
        <c:crosses val="autoZero"/>
        <c:auto val="1"/>
        <c:lblAlgn val="ctr"/>
        <c:lblOffset val="100"/>
      </c:catAx>
      <c:valAx>
        <c:axId val="67106304"/>
        <c:scaling>
          <c:orientation val="minMax"/>
          <c:min val="1000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2774656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Sheet3!$C$41</c:f>
              <c:strCache>
                <c:ptCount val="1"/>
                <c:pt idx="0">
                  <c:v>Grant F BiH</c:v>
                </c:pt>
              </c:strCache>
            </c:strRef>
          </c:tx>
          <c:marker>
            <c:symbol val="none"/>
          </c:marker>
          <c:cat>
            <c:numRef>
              <c:f>Sheet3!$D$40:$K$40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Sheet3!$D$41:$K$41</c:f>
              <c:numCache>
                <c:formatCode>#,##0</c:formatCode>
                <c:ptCount val="8"/>
                <c:pt idx="0">
                  <c:v>8000000</c:v>
                </c:pt>
                <c:pt idx="1">
                  <c:v>16000000</c:v>
                </c:pt>
                <c:pt idx="2">
                  <c:v>6000000</c:v>
                </c:pt>
                <c:pt idx="3">
                  <c:v>10000000</c:v>
                </c:pt>
                <c:pt idx="4">
                  <c:v>12000000</c:v>
                </c:pt>
                <c:pt idx="5">
                  <c:v>11500000</c:v>
                </c:pt>
                <c:pt idx="6">
                  <c:v>5500000</c:v>
                </c:pt>
                <c:pt idx="7">
                  <c:v>8000000</c:v>
                </c:pt>
              </c:numCache>
            </c:numRef>
          </c:val>
        </c:ser>
        <c:marker val="1"/>
        <c:axId val="67325312"/>
        <c:axId val="82524416"/>
      </c:lineChart>
      <c:catAx>
        <c:axId val="67325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2524416"/>
        <c:crosses val="autoZero"/>
        <c:auto val="1"/>
        <c:lblAlgn val="ctr"/>
        <c:lblOffset val="100"/>
      </c:catAx>
      <c:valAx>
        <c:axId val="82524416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7325312"/>
        <c:crosses val="autoZero"/>
        <c:crossBetween val="between"/>
      </c:valAx>
    </c:plotArea>
    <c:legend>
      <c:legendPos val="b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4518-5803-4CEB-9EFE-2ACC72A9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</dc:creator>
  <cp:lastModifiedBy>PC</cp:lastModifiedBy>
  <cp:revision>10</cp:revision>
  <cp:lastPrinted>2013-12-30T09:46:00Z</cp:lastPrinted>
  <dcterms:created xsi:type="dcterms:W3CDTF">2013-12-30T09:45:00Z</dcterms:created>
  <dcterms:modified xsi:type="dcterms:W3CDTF">2013-12-31T09:24:00Z</dcterms:modified>
</cp:coreProperties>
</file>