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A1" w:rsidRDefault="00DF3CA1" w:rsidP="00D80D6D">
      <w:pPr>
        <w:pStyle w:val="Default"/>
        <w:rPr>
          <w:rFonts w:ascii="Arial" w:hAnsi="Arial" w:cs="Arial"/>
          <w:b/>
          <w:bCs/>
        </w:rPr>
      </w:pPr>
    </w:p>
    <w:p w:rsidR="00A95A86" w:rsidRDefault="00A95A86" w:rsidP="00D80D6D">
      <w:pPr>
        <w:pStyle w:val="Default"/>
        <w:rPr>
          <w:rFonts w:ascii="Arial" w:hAnsi="Arial" w:cs="Arial"/>
          <w:b/>
          <w:bCs/>
        </w:rPr>
      </w:pPr>
    </w:p>
    <w:p w:rsidR="004E17B3" w:rsidRPr="00064104" w:rsidRDefault="004E17B3" w:rsidP="004E17B3">
      <w:pPr>
        <w:pStyle w:val="Heading1"/>
        <w:rPr>
          <w:rFonts w:cs="Arial"/>
        </w:rPr>
      </w:pPr>
      <w:r w:rsidRPr="00064104">
        <w:rPr>
          <w:rFonts w:cs="Arial"/>
        </w:rPr>
        <w:t>BOSNA I HERCEGOVINA</w:t>
      </w:r>
    </w:p>
    <w:p w:rsidR="004E17B3" w:rsidRPr="00064104" w:rsidRDefault="004E17B3" w:rsidP="004E17B3">
      <w:pPr>
        <w:pStyle w:val="Heading1"/>
        <w:rPr>
          <w:rFonts w:cs="Arial"/>
        </w:rPr>
      </w:pPr>
      <w:r w:rsidRPr="00064104">
        <w:rPr>
          <w:rFonts w:cs="Arial"/>
        </w:rPr>
        <w:t>FEDERACIJA BOSNE I HERCEGOVINE</w:t>
      </w:r>
    </w:p>
    <w:p w:rsidR="004E17B3" w:rsidRPr="00064104" w:rsidRDefault="004E17B3" w:rsidP="004E17B3">
      <w:pPr>
        <w:pStyle w:val="Heading1"/>
        <w:rPr>
          <w:rFonts w:cs="Arial"/>
        </w:rPr>
      </w:pPr>
      <w:r w:rsidRPr="00064104">
        <w:rPr>
          <w:rFonts w:cs="Arial"/>
        </w:rPr>
        <w:t xml:space="preserve">BOSANSKO-PODRINJSKI KANTON GORAŽDE </w:t>
      </w:r>
    </w:p>
    <w:p w:rsidR="004E17B3" w:rsidRPr="00064104" w:rsidRDefault="004E17B3" w:rsidP="004E17B3">
      <w:pPr>
        <w:pStyle w:val="Heading1"/>
        <w:rPr>
          <w:rFonts w:cs="Arial"/>
        </w:rPr>
      </w:pPr>
      <w:r w:rsidRPr="00064104">
        <w:rPr>
          <w:rFonts w:cs="Arial"/>
        </w:rPr>
        <w:t>MINISTARSTVO ZA FINANSIJE</w:t>
      </w:r>
    </w:p>
    <w:p w:rsidR="004E17B3" w:rsidRPr="00064104" w:rsidRDefault="004E17B3" w:rsidP="004E17B3">
      <w:pPr>
        <w:rPr>
          <w:rFonts w:ascii="Arial" w:hAnsi="Arial" w:cs="Arial"/>
          <w:b/>
          <w:sz w:val="28"/>
          <w:szCs w:val="28"/>
        </w:rPr>
      </w:pPr>
    </w:p>
    <w:p w:rsidR="004E17B3" w:rsidRDefault="004E17B3" w:rsidP="004E17B3">
      <w:pPr>
        <w:jc w:val="center"/>
        <w:rPr>
          <w:rFonts w:ascii="Times New Roman" w:hAnsi="Times New Roman" w:cs="Times New Roman"/>
          <w:b/>
          <w:sz w:val="28"/>
          <w:szCs w:val="28"/>
        </w:rPr>
      </w:pPr>
    </w:p>
    <w:p w:rsidR="004E17B3" w:rsidRDefault="004E17B3" w:rsidP="004E17B3">
      <w:pPr>
        <w:jc w:val="center"/>
        <w:rPr>
          <w:rFonts w:ascii="Times New Roman" w:hAnsi="Times New Roman" w:cs="Times New Roman"/>
          <w:b/>
          <w:sz w:val="32"/>
          <w:szCs w:val="32"/>
        </w:rPr>
      </w:pPr>
    </w:p>
    <w:p w:rsidR="004E17B3" w:rsidRDefault="004E17B3" w:rsidP="004E17B3">
      <w:pPr>
        <w:jc w:val="center"/>
        <w:rPr>
          <w:rFonts w:ascii="Times New Roman" w:hAnsi="Times New Roman" w:cs="Times New Roman"/>
          <w:b/>
          <w:sz w:val="28"/>
          <w:szCs w:val="28"/>
        </w:rPr>
      </w:pPr>
    </w:p>
    <w:p w:rsidR="004E17B3" w:rsidRDefault="004E17B3" w:rsidP="004E17B3">
      <w:pPr>
        <w:jc w:val="center"/>
        <w:rPr>
          <w:rFonts w:ascii="Times New Roman" w:hAnsi="Times New Roman" w:cs="Times New Roman"/>
          <w:b/>
          <w:sz w:val="28"/>
          <w:szCs w:val="28"/>
        </w:rPr>
      </w:pPr>
    </w:p>
    <w:p w:rsidR="00DF3CA1" w:rsidRDefault="00DF3CA1" w:rsidP="004E17B3">
      <w:pPr>
        <w:jc w:val="center"/>
        <w:rPr>
          <w:rFonts w:ascii="Times New Roman" w:hAnsi="Times New Roman" w:cs="Times New Roman"/>
          <w:b/>
          <w:sz w:val="28"/>
          <w:szCs w:val="28"/>
        </w:rPr>
      </w:pPr>
    </w:p>
    <w:p w:rsidR="00DF3CA1" w:rsidRDefault="00DF3CA1" w:rsidP="004E17B3">
      <w:pPr>
        <w:jc w:val="center"/>
        <w:rPr>
          <w:rFonts w:ascii="Times New Roman" w:hAnsi="Times New Roman" w:cs="Times New Roman"/>
          <w:b/>
          <w:sz w:val="28"/>
          <w:szCs w:val="28"/>
        </w:rPr>
      </w:pPr>
    </w:p>
    <w:p w:rsidR="00064104" w:rsidRDefault="00064104" w:rsidP="00064104">
      <w:pPr>
        <w:jc w:val="center"/>
        <w:rPr>
          <w:rFonts w:ascii="Arial" w:hAnsi="Arial" w:cs="Arial"/>
          <w:b/>
          <w:sz w:val="24"/>
          <w:szCs w:val="24"/>
        </w:rPr>
      </w:pPr>
      <w:r w:rsidRPr="00064104">
        <w:rPr>
          <w:rFonts w:ascii="Arial" w:hAnsi="Arial" w:cs="Arial"/>
          <w:b/>
          <w:sz w:val="24"/>
          <w:szCs w:val="24"/>
        </w:rPr>
        <w:t>A</w:t>
      </w:r>
      <w:r>
        <w:rPr>
          <w:rFonts w:ascii="Arial" w:hAnsi="Arial" w:cs="Arial"/>
          <w:b/>
          <w:sz w:val="24"/>
          <w:szCs w:val="24"/>
        </w:rPr>
        <w:t xml:space="preserve"> </w:t>
      </w:r>
      <w:r w:rsidRPr="00064104">
        <w:rPr>
          <w:rFonts w:ascii="Arial" w:hAnsi="Arial" w:cs="Arial"/>
          <w:b/>
          <w:sz w:val="24"/>
          <w:szCs w:val="24"/>
        </w:rPr>
        <w:t>N</w:t>
      </w:r>
      <w:r>
        <w:rPr>
          <w:rFonts w:ascii="Arial" w:hAnsi="Arial" w:cs="Arial"/>
          <w:b/>
          <w:sz w:val="24"/>
          <w:szCs w:val="24"/>
        </w:rPr>
        <w:t xml:space="preserve"> </w:t>
      </w:r>
      <w:r w:rsidRPr="00064104">
        <w:rPr>
          <w:rFonts w:ascii="Arial" w:hAnsi="Arial" w:cs="Arial"/>
          <w:b/>
          <w:sz w:val="24"/>
          <w:szCs w:val="24"/>
        </w:rPr>
        <w:t>A</w:t>
      </w:r>
      <w:r>
        <w:rPr>
          <w:rFonts w:ascii="Arial" w:hAnsi="Arial" w:cs="Arial"/>
          <w:b/>
          <w:sz w:val="24"/>
          <w:szCs w:val="24"/>
        </w:rPr>
        <w:t xml:space="preserve"> </w:t>
      </w:r>
      <w:r w:rsidRPr="00064104">
        <w:rPr>
          <w:rFonts w:ascii="Arial" w:hAnsi="Arial" w:cs="Arial"/>
          <w:b/>
          <w:sz w:val="24"/>
          <w:szCs w:val="24"/>
        </w:rPr>
        <w:t>L</w:t>
      </w:r>
      <w:r>
        <w:rPr>
          <w:rFonts w:ascii="Arial" w:hAnsi="Arial" w:cs="Arial"/>
          <w:b/>
          <w:sz w:val="24"/>
          <w:szCs w:val="24"/>
        </w:rPr>
        <w:t xml:space="preserve"> </w:t>
      </w:r>
      <w:r w:rsidRPr="00064104">
        <w:rPr>
          <w:rFonts w:ascii="Arial" w:hAnsi="Arial" w:cs="Arial"/>
          <w:b/>
          <w:sz w:val="24"/>
          <w:szCs w:val="24"/>
        </w:rPr>
        <w:t>I</w:t>
      </w:r>
      <w:r>
        <w:rPr>
          <w:rFonts w:ascii="Arial" w:hAnsi="Arial" w:cs="Arial"/>
          <w:b/>
          <w:sz w:val="24"/>
          <w:szCs w:val="24"/>
        </w:rPr>
        <w:t xml:space="preserve"> </w:t>
      </w:r>
      <w:r w:rsidRPr="00064104">
        <w:rPr>
          <w:rFonts w:ascii="Arial" w:hAnsi="Arial" w:cs="Arial"/>
          <w:b/>
          <w:sz w:val="24"/>
          <w:szCs w:val="24"/>
        </w:rPr>
        <w:t>Z</w:t>
      </w:r>
      <w:r>
        <w:rPr>
          <w:rFonts w:ascii="Arial" w:hAnsi="Arial" w:cs="Arial"/>
          <w:b/>
          <w:sz w:val="24"/>
          <w:szCs w:val="24"/>
        </w:rPr>
        <w:t xml:space="preserve"> </w:t>
      </w:r>
      <w:r w:rsidRPr="00064104">
        <w:rPr>
          <w:rFonts w:ascii="Arial" w:hAnsi="Arial" w:cs="Arial"/>
          <w:b/>
          <w:sz w:val="24"/>
          <w:szCs w:val="24"/>
        </w:rPr>
        <w:t xml:space="preserve">A </w:t>
      </w:r>
    </w:p>
    <w:p w:rsidR="004E17B3" w:rsidRPr="00064104" w:rsidRDefault="00064104" w:rsidP="00064104">
      <w:pPr>
        <w:jc w:val="center"/>
        <w:rPr>
          <w:rFonts w:ascii="Times New Roman" w:hAnsi="Times New Roman" w:cs="Times New Roman"/>
          <w:b/>
          <w:sz w:val="24"/>
          <w:szCs w:val="24"/>
        </w:rPr>
      </w:pPr>
      <w:r>
        <w:rPr>
          <w:rFonts w:ascii="Arial" w:hAnsi="Arial" w:cs="Arial"/>
          <w:b/>
          <w:sz w:val="24"/>
          <w:szCs w:val="24"/>
        </w:rPr>
        <w:t>RASPODJELE</w:t>
      </w:r>
      <w:r w:rsidRPr="00064104">
        <w:rPr>
          <w:rFonts w:ascii="Arial" w:hAnsi="Arial" w:cs="Arial"/>
          <w:b/>
          <w:sz w:val="24"/>
          <w:szCs w:val="24"/>
        </w:rPr>
        <w:t xml:space="preserve"> JAVNIH PRIHODA OD INDIREKTNIH POREZA PO KANTONIMA U FEDERACIJI BiH U SKLADU SA POSTOJEĆIM KRITERIJIMA, SA I BEZ PONDERA, KOJA UKAZUJE NA NEOPHODNOST ZADRŽAVANJA PONDERA DO UVOĐENJA DODATNIH KRITERIJA ZA RASPODJELU </w:t>
      </w:r>
    </w:p>
    <w:p w:rsidR="004E17B3" w:rsidRDefault="004E17B3" w:rsidP="004E17B3">
      <w:pPr>
        <w:rPr>
          <w:rFonts w:ascii="Times New Roman" w:hAnsi="Times New Roman" w:cs="Times New Roman"/>
          <w:sz w:val="28"/>
          <w:szCs w:val="28"/>
        </w:rPr>
      </w:pPr>
    </w:p>
    <w:p w:rsidR="004E17B3" w:rsidRDefault="004E17B3" w:rsidP="004E17B3">
      <w:pPr>
        <w:rPr>
          <w:rFonts w:ascii="Times New Roman" w:hAnsi="Times New Roman" w:cs="Times New Roman"/>
          <w:sz w:val="28"/>
          <w:szCs w:val="28"/>
        </w:rPr>
      </w:pPr>
    </w:p>
    <w:p w:rsidR="004E17B3" w:rsidRDefault="004E17B3" w:rsidP="004E17B3">
      <w:pPr>
        <w:rPr>
          <w:rFonts w:ascii="Times New Roman" w:hAnsi="Times New Roman" w:cs="Times New Roman"/>
          <w:sz w:val="28"/>
          <w:szCs w:val="28"/>
        </w:rPr>
      </w:pPr>
    </w:p>
    <w:p w:rsidR="004E17B3" w:rsidRDefault="004E17B3" w:rsidP="004E17B3">
      <w:pPr>
        <w:jc w:val="center"/>
        <w:rPr>
          <w:rFonts w:ascii="Times New Roman" w:hAnsi="Times New Roman" w:cs="Times New Roman"/>
          <w:b/>
          <w:sz w:val="28"/>
          <w:szCs w:val="28"/>
        </w:rPr>
      </w:pPr>
    </w:p>
    <w:p w:rsidR="004E17B3" w:rsidRDefault="004E17B3" w:rsidP="004E17B3">
      <w:pPr>
        <w:jc w:val="center"/>
        <w:rPr>
          <w:rFonts w:ascii="Times New Roman" w:hAnsi="Times New Roman" w:cs="Times New Roman"/>
          <w:b/>
          <w:sz w:val="28"/>
          <w:szCs w:val="28"/>
        </w:rPr>
      </w:pPr>
    </w:p>
    <w:p w:rsidR="004E17B3" w:rsidRDefault="004E17B3" w:rsidP="004E17B3">
      <w:pPr>
        <w:jc w:val="center"/>
        <w:rPr>
          <w:rFonts w:ascii="Times New Roman" w:hAnsi="Times New Roman" w:cs="Times New Roman"/>
          <w:b/>
          <w:sz w:val="28"/>
          <w:szCs w:val="28"/>
        </w:rPr>
      </w:pPr>
    </w:p>
    <w:p w:rsidR="004E17B3" w:rsidRDefault="004E17B3" w:rsidP="004E17B3">
      <w:pPr>
        <w:jc w:val="center"/>
        <w:rPr>
          <w:rFonts w:ascii="Times New Roman" w:hAnsi="Times New Roman" w:cs="Times New Roman"/>
          <w:b/>
          <w:sz w:val="28"/>
          <w:szCs w:val="28"/>
        </w:rPr>
      </w:pPr>
    </w:p>
    <w:p w:rsidR="00DF3CA1" w:rsidRDefault="00DF3CA1" w:rsidP="004E17B3">
      <w:pPr>
        <w:jc w:val="center"/>
        <w:rPr>
          <w:rFonts w:ascii="Times New Roman" w:hAnsi="Times New Roman" w:cs="Times New Roman"/>
          <w:b/>
          <w:sz w:val="28"/>
          <w:szCs w:val="28"/>
        </w:rPr>
      </w:pPr>
    </w:p>
    <w:p w:rsidR="00A95A86" w:rsidRPr="00064104" w:rsidRDefault="00CF59FB" w:rsidP="00064104">
      <w:pPr>
        <w:jc w:val="center"/>
        <w:rPr>
          <w:rFonts w:ascii="Times New Roman" w:hAnsi="Times New Roman" w:cs="Times New Roman"/>
          <w:b/>
          <w:sz w:val="24"/>
          <w:szCs w:val="24"/>
        </w:rPr>
      </w:pPr>
      <w:r>
        <w:rPr>
          <w:rFonts w:ascii="Times New Roman" w:hAnsi="Times New Roman" w:cs="Times New Roman"/>
          <w:b/>
          <w:sz w:val="24"/>
          <w:szCs w:val="24"/>
        </w:rPr>
        <w:t>Goražde, MART</w:t>
      </w:r>
      <w:r w:rsidR="004E17B3">
        <w:rPr>
          <w:rFonts w:ascii="Times New Roman" w:hAnsi="Times New Roman" w:cs="Times New Roman"/>
          <w:b/>
          <w:sz w:val="24"/>
          <w:szCs w:val="24"/>
        </w:rPr>
        <w:t xml:space="preserve"> 2015. godin</w:t>
      </w:r>
      <w:r w:rsidR="00064104">
        <w:rPr>
          <w:rFonts w:ascii="Times New Roman" w:hAnsi="Times New Roman" w:cs="Times New Roman"/>
          <w:b/>
          <w:sz w:val="24"/>
          <w:szCs w:val="24"/>
        </w:rPr>
        <w:t>a</w:t>
      </w:r>
    </w:p>
    <w:p w:rsidR="00A95A86" w:rsidRDefault="00A95A86" w:rsidP="00D80D6D">
      <w:pPr>
        <w:pStyle w:val="Default"/>
        <w:rPr>
          <w:rFonts w:ascii="Arial" w:hAnsi="Arial" w:cs="Arial"/>
          <w:b/>
          <w:bCs/>
        </w:rPr>
      </w:pPr>
    </w:p>
    <w:p w:rsidR="00977027" w:rsidRDefault="00977027" w:rsidP="00D80D6D">
      <w:pPr>
        <w:pStyle w:val="Default"/>
        <w:rPr>
          <w:rFonts w:ascii="Arial" w:hAnsi="Arial" w:cs="Arial"/>
          <w:b/>
          <w:bCs/>
        </w:rPr>
      </w:pPr>
    </w:p>
    <w:p w:rsidR="00373D29" w:rsidRPr="00D80D6D" w:rsidRDefault="00D80D6D" w:rsidP="00D80D6D">
      <w:pPr>
        <w:pStyle w:val="Default"/>
        <w:rPr>
          <w:rFonts w:ascii="Arial" w:hAnsi="Arial" w:cs="Arial"/>
          <w:b/>
          <w:bCs/>
        </w:rPr>
      </w:pPr>
      <w:r>
        <w:rPr>
          <w:rFonts w:ascii="Arial" w:hAnsi="Arial" w:cs="Arial"/>
          <w:b/>
          <w:bCs/>
        </w:rPr>
        <w:t xml:space="preserve">1. </w:t>
      </w:r>
      <w:r w:rsidR="00373D29" w:rsidRPr="00D80D6D">
        <w:rPr>
          <w:rFonts w:ascii="Arial" w:hAnsi="Arial" w:cs="Arial"/>
          <w:b/>
          <w:bCs/>
        </w:rPr>
        <w:t xml:space="preserve">RAZLOZI I NUŽNOST </w:t>
      </w:r>
      <w:r w:rsidR="006F2D5E" w:rsidRPr="00D80D6D">
        <w:rPr>
          <w:rFonts w:ascii="Arial" w:hAnsi="Arial" w:cs="Arial"/>
          <w:b/>
          <w:bCs/>
        </w:rPr>
        <w:t>ANALIZE TE PREDLAGANJA MJERA</w:t>
      </w:r>
      <w:r w:rsidR="00373D29" w:rsidRPr="00D80D6D">
        <w:rPr>
          <w:rFonts w:ascii="Arial" w:hAnsi="Arial" w:cs="Arial"/>
          <w:b/>
          <w:bCs/>
        </w:rPr>
        <w:t xml:space="preserve"> </w:t>
      </w:r>
    </w:p>
    <w:p w:rsidR="00B171B8" w:rsidRDefault="00B171B8" w:rsidP="00B171B8">
      <w:pPr>
        <w:pStyle w:val="Default"/>
        <w:rPr>
          <w:sz w:val="30"/>
          <w:szCs w:val="30"/>
        </w:rPr>
      </w:pPr>
    </w:p>
    <w:p w:rsidR="00B171B8" w:rsidRDefault="00B171B8" w:rsidP="00B171B8">
      <w:pPr>
        <w:pStyle w:val="Default"/>
        <w:rPr>
          <w:sz w:val="30"/>
          <w:szCs w:val="30"/>
        </w:rPr>
      </w:pPr>
    </w:p>
    <w:p w:rsidR="00506007" w:rsidRDefault="00B171B8" w:rsidP="00977027">
      <w:pPr>
        <w:jc w:val="both"/>
        <w:rPr>
          <w:rFonts w:ascii="Arial" w:hAnsi="Arial" w:cs="Arial"/>
          <w:lang w:val="hr-HR"/>
        </w:rPr>
      </w:pPr>
      <w:r w:rsidRPr="00B171B8">
        <w:rPr>
          <w:rFonts w:ascii="Arial" w:hAnsi="Arial" w:cs="Arial"/>
          <w:lang w:val="hr-HR"/>
        </w:rPr>
        <w:t>U Federaciji Bosne i Hercegovine je od njenog osnivanja do danas v</w:t>
      </w:r>
      <w:r w:rsidR="00945DBF">
        <w:rPr>
          <w:rFonts w:ascii="Arial" w:hAnsi="Arial" w:cs="Arial"/>
          <w:lang w:val="hr-HR"/>
        </w:rPr>
        <w:t xml:space="preserve">ršena neadekvatna i nepravedna </w:t>
      </w:r>
      <w:r w:rsidRPr="00B171B8">
        <w:rPr>
          <w:rFonts w:ascii="Arial" w:hAnsi="Arial" w:cs="Arial"/>
          <w:lang w:val="hr-HR"/>
        </w:rPr>
        <w:t>raspodjela prihoda</w:t>
      </w:r>
      <w:r w:rsidR="00945DBF">
        <w:rPr>
          <w:rFonts w:ascii="Arial" w:hAnsi="Arial" w:cs="Arial"/>
          <w:lang w:val="hr-HR"/>
        </w:rPr>
        <w:t>,</w:t>
      </w:r>
      <w:r w:rsidRPr="00B171B8">
        <w:rPr>
          <w:rFonts w:ascii="Arial" w:hAnsi="Arial" w:cs="Arial"/>
          <w:lang w:val="hr-HR"/>
        </w:rPr>
        <w:t xml:space="preserve"> a najgoru poziciju u takvoj raspodjeli imao je Bosansko-podrinjski kanton Goražde jer se raspodjela nije vršila na osnovu kriterija koji su u vezi sa nadležnostima kantona, a koji odgovaraju Bosansko-podrinjskom kantonu Goražde</w:t>
      </w:r>
      <w:r w:rsidR="00304C8B">
        <w:rPr>
          <w:rFonts w:ascii="Arial" w:hAnsi="Arial" w:cs="Arial"/>
          <w:lang w:val="hr-HR"/>
        </w:rPr>
        <w:t>,</w:t>
      </w:r>
      <w:r w:rsidRPr="00B171B8">
        <w:rPr>
          <w:rFonts w:ascii="Arial" w:hAnsi="Arial" w:cs="Arial"/>
          <w:lang w:val="hr-HR"/>
        </w:rPr>
        <w:t xml:space="preserve"> već su se u obzir uzimali uglavnom samo oni kriteriji koji ne odgovaraju Bosansko-podrinjskom kantonu Goražde. </w:t>
      </w:r>
    </w:p>
    <w:p w:rsidR="00506007" w:rsidRPr="0021377D" w:rsidRDefault="00506007" w:rsidP="00977027">
      <w:pPr>
        <w:jc w:val="both"/>
        <w:rPr>
          <w:rFonts w:ascii="Arial" w:hAnsi="Arial" w:cs="Arial"/>
          <w:bCs/>
        </w:rPr>
      </w:pPr>
      <w:r w:rsidRPr="0021377D">
        <w:rPr>
          <w:rFonts w:ascii="Arial" w:hAnsi="Arial" w:cs="Arial"/>
          <w:lang w:val="hr-HR"/>
        </w:rPr>
        <w:t xml:space="preserve">Izostavljanje određenih kriterija koji bi imajući u vidu ustavne nadležnosti kantona trebali obavezno biti kriteriji za raspodjelu je donekle kompezovano uvođenjem pondera u važeći Zakon o pripadnosti javnih prihoda </w:t>
      </w:r>
      <w:r w:rsidRPr="0021377D">
        <w:rPr>
          <w:rFonts w:ascii="Arial" w:hAnsi="Arial" w:cs="Arial"/>
        </w:rPr>
        <w:t>u Federaciji Bosne i Hercegovine jer da nisu utvrđeni ponderi određeni kantoni koji imaju npr. procentualno veće učešće korisnika socijalne i zdravstvene zaštite po stanovniku ne bi bili u mogućnosti pružiti tu zaštitu svojim stanovnicima na onom nivou na kojem je ista u drugim kantonima</w:t>
      </w:r>
      <w:r w:rsidR="00304C8B">
        <w:rPr>
          <w:rFonts w:ascii="Arial" w:hAnsi="Arial" w:cs="Arial"/>
        </w:rPr>
        <w:t>,</w:t>
      </w:r>
      <w:r w:rsidRPr="0021377D">
        <w:rPr>
          <w:rFonts w:ascii="Arial" w:hAnsi="Arial" w:cs="Arial"/>
        </w:rPr>
        <w:t xml:space="preserve"> što je svakako neprihvatljivo. Naime</w:t>
      </w:r>
      <w:r w:rsidR="00304C8B">
        <w:rPr>
          <w:rFonts w:ascii="Arial" w:hAnsi="Arial" w:cs="Arial"/>
        </w:rPr>
        <w:t>,</w:t>
      </w:r>
      <w:r w:rsidRPr="0021377D">
        <w:rPr>
          <w:rFonts w:ascii="Arial" w:hAnsi="Arial" w:cs="Arial"/>
        </w:rPr>
        <w:t xml:space="preserve"> zdravstvo i socijalna zaštita su takođe prema Ustavu Federacije Bosne i Hercegovine u nadležnosti kantona</w:t>
      </w:r>
      <w:r w:rsidR="00304C8B">
        <w:rPr>
          <w:rFonts w:ascii="Arial" w:hAnsi="Arial" w:cs="Arial"/>
        </w:rPr>
        <w:t>,</w:t>
      </w:r>
      <w:r w:rsidRPr="0021377D">
        <w:rPr>
          <w:rFonts w:ascii="Arial" w:hAnsi="Arial" w:cs="Arial"/>
        </w:rPr>
        <w:t xml:space="preserve"> a uspostavljanje i finansiranje istih iziskuje velika finansijska sredstva</w:t>
      </w:r>
      <w:r w:rsidR="00304C8B">
        <w:rPr>
          <w:rFonts w:ascii="Arial" w:hAnsi="Arial" w:cs="Arial"/>
        </w:rPr>
        <w:t>,</w:t>
      </w:r>
      <w:r w:rsidRPr="0021377D">
        <w:rPr>
          <w:rFonts w:ascii="Arial" w:hAnsi="Arial" w:cs="Arial"/>
        </w:rPr>
        <w:t xml:space="preserve"> pogotovo u kantonima u kojima </w:t>
      </w:r>
      <w:r w:rsidRPr="0021377D">
        <w:rPr>
          <w:rFonts w:ascii="Arial" w:hAnsi="Arial" w:cs="Arial"/>
          <w:bCs/>
        </w:rPr>
        <w:t>ne postoji mogućnost pružanja tercijalne zdravstvene zaštite. Postoje</w:t>
      </w:r>
      <w:r w:rsidR="00945DBF">
        <w:rPr>
          <w:rFonts w:ascii="Arial" w:hAnsi="Arial" w:cs="Arial"/>
          <w:bCs/>
        </w:rPr>
        <w:t xml:space="preserve">ćim načinom raspodjele gdje su </w:t>
      </w:r>
      <w:r w:rsidRPr="0021377D">
        <w:rPr>
          <w:rFonts w:ascii="Arial" w:hAnsi="Arial" w:cs="Arial"/>
          <w:bCs/>
        </w:rPr>
        <w:t>jedini kriteriji za raspodjelu površina, broj stanovnika i broj učenika</w:t>
      </w:r>
      <w:r w:rsidR="00945DBF">
        <w:rPr>
          <w:rFonts w:ascii="Arial" w:hAnsi="Arial" w:cs="Arial"/>
          <w:bCs/>
        </w:rPr>
        <w:t>, veći</w:t>
      </w:r>
      <w:r w:rsidRPr="0021377D">
        <w:rPr>
          <w:rFonts w:ascii="Arial" w:hAnsi="Arial" w:cs="Arial"/>
          <w:bCs/>
        </w:rPr>
        <w:t xml:space="preserve"> mnogoljudniji kantoni i kantoni sa manjim potrebama zdravstvene i socijalne zaštite su u znatno povolj</w:t>
      </w:r>
      <w:r w:rsidR="00304C8B">
        <w:rPr>
          <w:rFonts w:ascii="Arial" w:hAnsi="Arial" w:cs="Arial"/>
          <w:bCs/>
        </w:rPr>
        <w:t>nijem položaju što ima za poslj</w:t>
      </w:r>
      <w:r w:rsidRPr="0021377D">
        <w:rPr>
          <w:rFonts w:ascii="Arial" w:hAnsi="Arial" w:cs="Arial"/>
          <w:bCs/>
        </w:rPr>
        <w:t>edicu da smanjuje učešće u raspodjeli kantona sa većim potrebama u oblasti zdravstveno</w:t>
      </w:r>
      <w:r w:rsidR="00304C8B">
        <w:rPr>
          <w:rFonts w:ascii="Arial" w:hAnsi="Arial" w:cs="Arial"/>
          <w:bCs/>
        </w:rPr>
        <w:t>-</w:t>
      </w:r>
      <w:r w:rsidRPr="0021377D">
        <w:rPr>
          <w:rFonts w:ascii="Arial" w:hAnsi="Arial" w:cs="Arial"/>
          <w:bCs/>
        </w:rPr>
        <w:t xml:space="preserve"> socijalne zaštite. U Bosansko-podrinjskom kantonu Goražde je broj korisnika socijalne i zdravstvene zaštite znatno veći nego u drugim kantonima a učešće istog u raspodjeli se u zadnjih nekoliko godina smanjuje iako su i sredstva koja su i u godini kada je raspodjela bila najpovoljnija za naš Kanton bila nedovoljna.</w:t>
      </w:r>
    </w:p>
    <w:p w:rsidR="00506007" w:rsidRPr="00CE1A49" w:rsidRDefault="00506007" w:rsidP="00977027">
      <w:pPr>
        <w:jc w:val="both"/>
        <w:rPr>
          <w:rFonts w:ascii="Arial" w:hAnsi="Arial" w:cs="Arial"/>
        </w:rPr>
      </w:pPr>
      <w:r>
        <w:rPr>
          <w:rFonts w:ascii="Arial" w:hAnsi="Arial" w:cs="Arial"/>
        </w:rPr>
        <w:t xml:space="preserve">Zbog </w:t>
      </w:r>
      <w:r>
        <w:rPr>
          <w:rFonts w:ascii="Arial" w:hAnsi="Arial" w:cs="Arial"/>
          <w:lang w:val="hr-HR"/>
        </w:rPr>
        <w:t>neadekvatne</w:t>
      </w:r>
      <w:r w:rsidRPr="00B171B8">
        <w:rPr>
          <w:rFonts w:ascii="Arial" w:hAnsi="Arial" w:cs="Arial"/>
          <w:lang w:val="hr-HR"/>
        </w:rPr>
        <w:t xml:space="preserve"> i nepravedn</w:t>
      </w:r>
      <w:r>
        <w:rPr>
          <w:rFonts w:ascii="Arial" w:hAnsi="Arial" w:cs="Arial"/>
          <w:lang w:val="hr-HR"/>
        </w:rPr>
        <w:t>e</w:t>
      </w:r>
      <w:r w:rsidRPr="00B171B8">
        <w:rPr>
          <w:rFonts w:ascii="Arial" w:hAnsi="Arial" w:cs="Arial"/>
          <w:lang w:val="hr-HR"/>
        </w:rPr>
        <w:t xml:space="preserve"> raspodjel</w:t>
      </w:r>
      <w:r>
        <w:rPr>
          <w:rFonts w:ascii="Arial" w:hAnsi="Arial" w:cs="Arial"/>
          <w:lang w:val="hr-HR"/>
        </w:rPr>
        <w:t>e</w:t>
      </w:r>
      <w:r w:rsidRPr="00B171B8">
        <w:rPr>
          <w:rFonts w:ascii="Arial" w:hAnsi="Arial" w:cs="Arial"/>
          <w:lang w:val="hr-HR"/>
        </w:rPr>
        <w:t xml:space="preserve"> prihoda</w:t>
      </w:r>
      <w:r w:rsidR="00971A44">
        <w:rPr>
          <w:rFonts w:ascii="Arial" w:hAnsi="Arial" w:cs="Arial"/>
          <w:lang w:val="hr-HR"/>
        </w:rPr>
        <w:t>,</w:t>
      </w:r>
      <w:r>
        <w:rPr>
          <w:rFonts w:ascii="Arial" w:hAnsi="Arial" w:cs="Arial"/>
          <w:lang w:val="hr-HR"/>
        </w:rPr>
        <w:t xml:space="preserve"> posebno u perodu do 2006. </w:t>
      </w:r>
      <w:r w:rsidR="00971A44">
        <w:rPr>
          <w:rFonts w:ascii="Arial" w:hAnsi="Arial" w:cs="Arial"/>
          <w:lang w:val="hr-HR"/>
        </w:rPr>
        <w:t>G</w:t>
      </w:r>
      <w:r>
        <w:rPr>
          <w:rFonts w:ascii="Arial" w:hAnsi="Arial" w:cs="Arial"/>
          <w:lang w:val="hr-HR"/>
        </w:rPr>
        <w:t>odine</w:t>
      </w:r>
      <w:r w:rsidR="00971A44">
        <w:rPr>
          <w:rFonts w:ascii="Arial" w:hAnsi="Arial" w:cs="Arial"/>
          <w:lang w:val="hr-HR"/>
        </w:rPr>
        <w:t>,</w:t>
      </w:r>
      <w:r>
        <w:rPr>
          <w:rFonts w:ascii="Arial" w:hAnsi="Arial" w:cs="Arial"/>
        </w:rPr>
        <w:t xml:space="preserve"> i</w:t>
      </w:r>
      <w:r w:rsidRPr="00B171B8">
        <w:rPr>
          <w:rFonts w:ascii="Arial" w:hAnsi="Arial" w:cs="Arial"/>
        </w:rPr>
        <w:t xml:space="preserve">ako je na području </w:t>
      </w:r>
      <w:r>
        <w:rPr>
          <w:rFonts w:ascii="Arial" w:hAnsi="Arial" w:cs="Arial"/>
        </w:rPr>
        <w:t>Bosansko-podrinjskog kantona Goražde</w:t>
      </w:r>
      <w:r w:rsidRPr="00B171B8">
        <w:rPr>
          <w:rFonts w:ascii="Arial" w:hAnsi="Arial" w:cs="Arial"/>
        </w:rPr>
        <w:t xml:space="preserve"> zahvajuljući prije svega investicijama određenih privrednih subjekata u zadnjih nekoliko godina ostvaren značajan ekonomski razvoj, Bosansko-podrinjski kanton Goražde još uv</w:t>
      </w:r>
      <w:r w:rsidR="00971A44">
        <w:rPr>
          <w:rFonts w:ascii="Arial" w:hAnsi="Arial" w:cs="Arial"/>
        </w:rPr>
        <w:t>i</w:t>
      </w:r>
      <w:r w:rsidRPr="00B171B8">
        <w:rPr>
          <w:rFonts w:ascii="Arial" w:hAnsi="Arial" w:cs="Arial"/>
        </w:rPr>
        <w:t xml:space="preserve">jek </w:t>
      </w:r>
      <w:r w:rsidR="00945DBF">
        <w:rPr>
          <w:rFonts w:ascii="Arial" w:hAnsi="Arial" w:cs="Arial"/>
        </w:rPr>
        <w:t xml:space="preserve">je </w:t>
      </w:r>
      <w:r w:rsidRPr="00B171B8">
        <w:rPr>
          <w:rFonts w:ascii="Arial" w:hAnsi="Arial" w:cs="Arial"/>
        </w:rPr>
        <w:t>jedno od najnerazvijenijih područja u Bosni i Hercegovini</w:t>
      </w:r>
      <w:r>
        <w:rPr>
          <w:rFonts w:ascii="Arial" w:hAnsi="Arial" w:cs="Arial"/>
        </w:rPr>
        <w:t>.</w:t>
      </w:r>
      <w:r w:rsidR="00CE1A49">
        <w:rPr>
          <w:rFonts w:ascii="Arial" w:hAnsi="Arial" w:cs="Arial"/>
        </w:rPr>
        <w:t xml:space="preserve"> </w:t>
      </w:r>
      <w:r>
        <w:rPr>
          <w:rFonts w:ascii="Arial" w:hAnsi="Arial" w:cs="Arial"/>
          <w:lang w:val="hr-HR"/>
        </w:rPr>
        <w:t>Naime</w:t>
      </w:r>
      <w:r w:rsidR="00971A44">
        <w:rPr>
          <w:rFonts w:ascii="Arial" w:hAnsi="Arial" w:cs="Arial"/>
          <w:lang w:val="hr-HR"/>
        </w:rPr>
        <w:t>,</w:t>
      </w:r>
      <w:r>
        <w:rPr>
          <w:rFonts w:ascii="Arial" w:hAnsi="Arial" w:cs="Arial"/>
          <w:lang w:val="hr-HR"/>
        </w:rPr>
        <w:t xml:space="preserve"> u poslijeratnom periodu raspodjela prihoda je bila takva da je Bosansko-podrinjski kanton Goražde imao dva puta manje prihode od Posavskog kantona kao kantona koji je u tom periodu poslije Bosansko-podrinjskog kantona Goražde imao najmanje prihode u Federaciji Bosne i Hercegovine</w:t>
      </w:r>
      <w:r w:rsidR="00CE1A49">
        <w:rPr>
          <w:rFonts w:ascii="Arial" w:hAnsi="Arial" w:cs="Arial"/>
          <w:lang w:val="hr-HR"/>
        </w:rPr>
        <w:t>, iako</w:t>
      </w:r>
      <w:r>
        <w:rPr>
          <w:rFonts w:ascii="Arial" w:hAnsi="Arial" w:cs="Arial"/>
          <w:lang w:val="hr-HR"/>
        </w:rPr>
        <w:t xml:space="preserve"> je pret</w:t>
      </w:r>
      <w:r w:rsidR="00945DBF">
        <w:rPr>
          <w:rFonts w:ascii="Arial" w:hAnsi="Arial" w:cs="Arial"/>
          <w:lang w:val="hr-HR"/>
        </w:rPr>
        <w:t>rpio najveća razaranja i</w:t>
      </w:r>
      <w:r>
        <w:rPr>
          <w:rFonts w:ascii="Arial" w:hAnsi="Arial" w:cs="Arial"/>
          <w:lang w:val="hr-HR"/>
        </w:rPr>
        <w:t xml:space="preserve"> imao najveće potrebe za obnovom infrastrukture</w:t>
      </w:r>
      <w:r w:rsidR="00971A44">
        <w:rPr>
          <w:rFonts w:ascii="Arial" w:hAnsi="Arial" w:cs="Arial"/>
          <w:lang w:val="hr-HR"/>
        </w:rPr>
        <w:t>,</w:t>
      </w:r>
      <w:r>
        <w:rPr>
          <w:rFonts w:ascii="Arial" w:hAnsi="Arial" w:cs="Arial"/>
          <w:lang w:val="hr-HR"/>
        </w:rPr>
        <w:t xml:space="preserve"> kao i višestruko veći procenat</w:t>
      </w:r>
      <w:r w:rsidRPr="00B171B8">
        <w:rPr>
          <w:rFonts w:ascii="Arial" w:hAnsi="Arial" w:cs="Arial"/>
          <w:lang w:val="hr-HR"/>
        </w:rPr>
        <w:t xml:space="preserve"> učešća stradalog i oboljelog stanovništva u ukupnom broju stanovnika</w:t>
      </w:r>
      <w:r>
        <w:rPr>
          <w:rFonts w:ascii="Arial" w:hAnsi="Arial" w:cs="Arial"/>
          <w:lang w:val="hr-HR"/>
        </w:rPr>
        <w:t>.</w:t>
      </w:r>
    </w:p>
    <w:p w:rsidR="00CE1A49" w:rsidRDefault="00506007" w:rsidP="00977027">
      <w:pPr>
        <w:jc w:val="both"/>
        <w:rPr>
          <w:rFonts w:ascii="Arial" w:hAnsi="Arial" w:cs="Arial"/>
          <w:lang w:val="hr-HR"/>
        </w:rPr>
      </w:pPr>
      <w:r>
        <w:rPr>
          <w:rFonts w:ascii="Arial" w:hAnsi="Arial" w:cs="Arial"/>
          <w:lang w:val="hr-HR"/>
        </w:rPr>
        <w:t>To je za poslijedicu imalo višegodišnje neadekvatno pružanje zdravstvene i socijalne zaštite građanima Bosansko-podrinjskog kantona Goražde te da su p</w:t>
      </w:r>
      <w:r w:rsidRPr="00B171B8">
        <w:rPr>
          <w:rFonts w:ascii="Arial" w:hAnsi="Arial" w:cs="Arial"/>
          <w:lang w:val="hr-HR"/>
        </w:rPr>
        <w:t>late i naknade zaposlenih u institucijama Bosans</w:t>
      </w:r>
      <w:r w:rsidR="00945DBF">
        <w:rPr>
          <w:rFonts w:ascii="Arial" w:hAnsi="Arial" w:cs="Arial"/>
          <w:lang w:val="hr-HR"/>
        </w:rPr>
        <w:t xml:space="preserve">ko-podrinjskom kantonu Goražde </w:t>
      </w:r>
      <w:r w:rsidRPr="00B171B8">
        <w:rPr>
          <w:rFonts w:ascii="Arial" w:hAnsi="Arial" w:cs="Arial"/>
          <w:lang w:val="hr-HR"/>
        </w:rPr>
        <w:t>do 2007.godine bile dva do tri puta manje nego plaće i naknade zaposl</w:t>
      </w:r>
      <w:r w:rsidR="00971A44">
        <w:rPr>
          <w:rFonts w:ascii="Arial" w:hAnsi="Arial" w:cs="Arial"/>
          <w:lang w:val="hr-HR"/>
        </w:rPr>
        <w:t>e</w:t>
      </w:r>
      <w:r w:rsidRPr="00B171B8">
        <w:rPr>
          <w:rFonts w:ascii="Arial" w:hAnsi="Arial" w:cs="Arial"/>
          <w:lang w:val="hr-HR"/>
        </w:rPr>
        <w:t>nih u institucijama Federacije Bosne i Hercegovine</w:t>
      </w:r>
      <w:r w:rsidR="00B11A11">
        <w:rPr>
          <w:rFonts w:ascii="Arial" w:hAnsi="Arial" w:cs="Arial"/>
          <w:lang w:val="hr-HR"/>
        </w:rPr>
        <w:t>,</w:t>
      </w:r>
      <w:r w:rsidRPr="00B171B8">
        <w:rPr>
          <w:rFonts w:ascii="Arial" w:hAnsi="Arial" w:cs="Arial"/>
          <w:lang w:val="hr-HR"/>
        </w:rPr>
        <w:t xml:space="preserve"> odnosno dva do tri puta manje nego plaće i naknade zaposlenih u odgovarajućim institucijama u drugim </w:t>
      </w:r>
      <w:r w:rsidRPr="00B171B8">
        <w:rPr>
          <w:rFonts w:ascii="Arial" w:hAnsi="Arial" w:cs="Arial"/>
          <w:lang w:val="hr-HR"/>
        </w:rPr>
        <w:lastRenderedPageBreak/>
        <w:t>kantonima</w:t>
      </w:r>
      <w:r w:rsidR="00B11A11">
        <w:rPr>
          <w:rFonts w:ascii="Arial" w:hAnsi="Arial" w:cs="Arial"/>
          <w:lang w:val="hr-HR"/>
        </w:rPr>
        <w:t>,</w:t>
      </w:r>
      <w:r>
        <w:rPr>
          <w:rFonts w:ascii="Arial" w:hAnsi="Arial" w:cs="Arial"/>
          <w:lang w:val="hr-HR"/>
        </w:rPr>
        <w:t xml:space="preserve"> a iste su i danas </w:t>
      </w:r>
      <w:r w:rsidRPr="00B171B8">
        <w:rPr>
          <w:rFonts w:ascii="Arial" w:hAnsi="Arial" w:cs="Arial"/>
          <w:lang w:val="hr-HR"/>
        </w:rPr>
        <w:t>usljed nedovoljnih prihoda koje Bosansko-podrinjski kanton Goražde ostvar</w:t>
      </w:r>
      <w:r>
        <w:rPr>
          <w:rFonts w:ascii="Arial" w:hAnsi="Arial" w:cs="Arial"/>
          <w:lang w:val="hr-HR"/>
        </w:rPr>
        <w:t>uje</w:t>
      </w:r>
      <w:r w:rsidRPr="00B171B8">
        <w:rPr>
          <w:rFonts w:ascii="Arial" w:hAnsi="Arial" w:cs="Arial"/>
          <w:lang w:val="hr-HR"/>
        </w:rPr>
        <w:t xml:space="preserve"> zbog neadekvatne raspodjele javnih prihoda u Federaciji Bosne i Hercegovine</w:t>
      </w:r>
      <w:r w:rsidR="00B11A11">
        <w:rPr>
          <w:rFonts w:ascii="Arial" w:hAnsi="Arial" w:cs="Arial"/>
          <w:lang w:val="hr-HR"/>
        </w:rPr>
        <w:t>,</w:t>
      </w:r>
      <w:r w:rsidRPr="00B171B8">
        <w:rPr>
          <w:rFonts w:ascii="Arial" w:hAnsi="Arial" w:cs="Arial"/>
          <w:lang w:val="hr-HR"/>
        </w:rPr>
        <w:t xml:space="preserve"> znatno manje nego plaće i naknade zaposl</w:t>
      </w:r>
      <w:r w:rsidR="00B11A11">
        <w:rPr>
          <w:rFonts w:ascii="Arial" w:hAnsi="Arial" w:cs="Arial"/>
          <w:lang w:val="hr-HR"/>
        </w:rPr>
        <w:t>e</w:t>
      </w:r>
      <w:r w:rsidRPr="00B171B8">
        <w:rPr>
          <w:rFonts w:ascii="Arial" w:hAnsi="Arial" w:cs="Arial"/>
          <w:lang w:val="hr-HR"/>
        </w:rPr>
        <w:t>nih u institucijama F</w:t>
      </w:r>
      <w:r>
        <w:rPr>
          <w:rFonts w:ascii="Arial" w:hAnsi="Arial" w:cs="Arial"/>
          <w:lang w:val="hr-HR"/>
        </w:rPr>
        <w:t>ederacije Bosne i Hercegovine.</w:t>
      </w:r>
      <w:r w:rsidRPr="00B171B8">
        <w:rPr>
          <w:rFonts w:ascii="Arial" w:hAnsi="Arial" w:cs="Arial"/>
          <w:lang w:val="hr-HR"/>
        </w:rPr>
        <w:t xml:space="preserve"> Sve </w:t>
      </w:r>
      <w:r w:rsidR="00B11A11">
        <w:rPr>
          <w:rFonts w:ascii="Arial" w:hAnsi="Arial" w:cs="Arial"/>
          <w:lang w:val="hr-HR"/>
        </w:rPr>
        <w:t>navedeno je imalo za posl</w:t>
      </w:r>
      <w:r w:rsidRPr="00B171B8">
        <w:rPr>
          <w:rFonts w:ascii="Arial" w:hAnsi="Arial" w:cs="Arial"/>
          <w:lang w:val="hr-HR"/>
        </w:rPr>
        <w:t xml:space="preserve">jedicu </w:t>
      </w:r>
      <w:r>
        <w:rPr>
          <w:rFonts w:ascii="Arial" w:hAnsi="Arial" w:cs="Arial"/>
          <w:lang w:val="hr-HR"/>
        </w:rPr>
        <w:t>nedovoljnu</w:t>
      </w:r>
      <w:r w:rsidRPr="00B171B8">
        <w:rPr>
          <w:rFonts w:ascii="Arial" w:hAnsi="Arial" w:cs="Arial"/>
          <w:lang w:val="hr-HR"/>
        </w:rPr>
        <w:t xml:space="preserve"> obnovu </w:t>
      </w:r>
      <w:r>
        <w:rPr>
          <w:rFonts w:ascii="Arial" w:hAnsi="Arial" w:cs="Arial"/>
          <w:lang w:val="hr-HR"/>
        </w:rPr>
        <w:t>i izgradnju infrastrukture,</w:t>
      </w:r>
      <w:r w:rsidRPr="00B171B8">
        <w:rPr>
          <w:rFonts w:ascii="Arial" w:hAnsi="Arial" w:cs="Arial"/>
          <w:lang w:val="hr-HR"/>
        </w:rPr>
        <w:t xml:space="preserve"> povećanje siromaštva, pad životnog standarda građana Bosansko-podrinjskog kantona Goražde i dovođenje istih u neravnopravan položaj u odnosu na druge u Federaciji Bosne i Hercegovine. Bitno je i napomenuti da su za razliku od uposlenika u institucijama drugih kantona, uposlenici institucija Bosansko-podrinjskog kantona Goražde u navedenom periodu pokazali veliku solidarnost i razum</w:t>
      </w:r>
      <w:r w:rsidR="00B11A11">
        <w:rPr>
          <w:rFonts w:ascii="Arial" w:hAnsi="Arial" w:cs="Arial"/>
          <w:lang w:val="hr-HR"/>
        </w:rPr>
        <w:t>i</w:t>
      </w:r>
      <w:r w:rsidRPr="00B171B8">
        <w:rPr>
          <w:rFonts w:ascii="Arial" w:hAnsi="Arial" w:cs="Arial"/>
          <w:lang w:val="hr-HR"/>
        </w:rPr>
        <w:t xml:space="preserve">jevanje i odricali se dijela svojih primanja obzirom da su plaće i naknade bile manje od iznosa koji su bili zagarantovani kolektivnim ugovorom. </w:t>
      </w:r>
    </w:p>
    <w:p w:rsidR="00B171B8" w:rsidRPr="00B171B8" w:rsidRDefault="00B171B8" w:rsidP="00977027">
      <w:pPr>
        <w:jc w:val="both"/>
        <w:rPr>
          <w:rFonts w:ascii="Arial" w:hAnsi="Arial" w:cs="Arial"/>
          <w:lang w:val="hr-HR"/>
        </w:rPr>
      </w:pPr>
      <w:r w:rsidRPr="00B171B8">
        <w:rPr>
          <w:rFonts w:ascii="Arial" w:hAnsi="Arial" w:cs="Arial"/>
        </w:rPr>
        <w:t>Dakle</w:t>
      </w:r>
      <w:r w:rsidR="00B11A11">
        <w:rPr>
          <w:rFonts w:ascii="Arial" w:hAnsi="Arial" w:cs="Arial"/>
        </w:rPr>
        <w:t>,</w:t>
      </w:r>
      <w:r w:rsidRPr="00B171B8">
        <w:rPr>
          <w:rFonts w:ascii="Arial" w:hAnsi="Arial" w:cs="Arial"/>
        </w:rPr>
        <w:t xml:space="preserve"> iz navedenog se vidi da su Bosansko-podrinjskom kantonu Goražde kako bi se omogućilo funkcionisanje institucija sistema te kako bi se izgradila i održavala potrebna infrastruktura potrebna</w:t>
      </w:r>
      <w:r w:rsidR="00945DBF">
        <w:rPr>
          <w:rFonts w:ascii="Arial" w:hAnsi="Arial" w:cs="Arial"/>
        </w:rPr>
        <w:t>,</w:t>
      </w:r>
      <w:r w:rsidRPr="00B171B8">
        <w:rPr>
          <w:rFonts w:ascii="Arial" w:hAnsi="Arial" w:cs="Arial"/>
        </w:rPr>
        <w:t xml:space="preserve"> ali i da su svih ovih godina bila potrebna značajno veća finansijska sredstva od onih koja je dobijao</w:t>
      </w:r>
      <w:r w:rsidR="00945DBF">
        <w:rPr>
          <w:rFonts w:ascii="Arial" w:hAnsi="Arial" w:cs="Arial"/>
        </w:rPr>
        <w:t>,</w:t>
      </w:r>
      <w:r w:rsidRPr="00B171B8">
        <w:rPr>
          <w:rFonts w:ascii="Arial" w:hAnsi="Arial" w:cs="Arial"/>
        </w:rPr>
        <w:t xml:space="preserve"> kako kroz raspodjelu javnih prihoda tako i kroz grant koji je Bosansko-podrinjski kanton Goražde gotovo svake godine</w:t>
      </w:r>
      <w:r w:rsidR="00945DBF">
        <w:rPr>
          <w:rFonts w:ascii="Arial" w:hAnsi="Arial" w:cs="Arial"/>
        </w:rPr>
        <w:t xml:space="preserve"> </w:t>
      </w:r>
      <w:r w:rsidRPr="00B171B8">
        <w:rPr>
          <w:rFonts w:ascii="Arial" w:hAnsi="Arial" w:cs="Arial"/>
        </w:rPr>
        <w:t xml:space="preserve">dobijao </w:t>
      </w:r>
      <w:r w:rsidRPr="00B171B8">
        <w:rPr>
          <w:rFonts w:ascii="Arial" w:hAnsi="Arial" w:cs="Arial"/>
          <w:lang w:val="hr-HR"/>
        </w:rPr>
        <w:t xml:space="preserve">od Federacije Bosne i Hercegovine te je zbog toga neophodno da se pitanje finansiranja Bosansko-podrinjskog kantona Goražde adekvatno i trajno riješi i to upravo kroz raspodjelu javnih prihoda. </w:t>
      </w:r>
    </w:p>
    <w:p w:rsidR="00B171B8" w:rsidRDefault="00B171B8" w:rsidP="00977027">
      <w:pPr>
        <w:jc w:val="both"/>
        <w:rPr>
          <w:rFonts w:ascii="Arial" w:hAnsi="Arial" w:cs="Arial"/>
        </w:rPr>
      </w:pPr>
      <w:r w:rsidRPr="00B171B8">
        <w:rPr>
          <w:rFonts w:ascii="Arial" w:hAnsi="Arial" w:cs="Arial"/>
        </w:rPr>
        <w:t>Na opravdanost i neophodnost povećanja vlastitih prihoda</w:t>
      </w:r>
      <w:r w:rsidR="00945DBF">
        <w:rPr>
          <w:rFonts w:ascii="Arial" w:hAnsi="Arial" w:cs="Arial"/>
        </w:rPr>
        <w:t>,</w:t>
      </w:r>
      <w:r w:rsidRPr="00B171B8">
        <w:rPr>
          <w:rFonts w:ascii="Arial" w:hAnsi="Arial" w:cs="Arial"/>
        </w:rPr>
        <w:t xml:space="preserve"> odnosno veće potpore Bosansko-podrinjskom kantonu Goražde ukazuje činjenica da iako je na području Kantona zahva</w:t>
      </w:r>
      <w:r w:rsidR="00B11A11">
        <w:rPr>
          <w:rFonts w:ascii="Arial" w:hAnsi="Arial" w:cs="Arial"/>
        </w:rPr>
        <w:t>l</w:t>
      </w:r>
      <w:r w:rsidRPr="00B171B8">
        <w:rPr>
          <w:rFonts w:ascii="Arial" w:hAnsi="Arial" w:cs="Arial"/>
        </w:rPr>
        <w:t xml:space="preserve">jujući prije svega investicijama određenih privrednih subjekata u zadnjih nekoliko godina ostvaren značajan ekonomski razvoj, Bosansko-podrinjski kanton Goražde </w:t>
      </w:r>
      <w:r w:rsidR="00945DBF">
        <w:rPr>
          <w:rFonts w:ascii="Arial" w:hAnsi="Arial" w:cs="Arial"/>
        </w:rPr>
        <w:t xml:space="preserve">je </w:t>
      </w:r>
      <w:r w:rsidRPr="00B171B8">
        <w:rPr>
          <w:rFonts w:ascii="Arial" w:hAnsi="Arial" w:cs="Arial"/>
        </w:rPr>
        <w:t>još uv</w:t>
      </w:r>
      <w:r w:rsidR="00B11A11">
        <w:rPr>
          <w:rFonts w:ascii="Arial" w:hAnsi="Arial" w:cs="Arial"/>
        </w:rPr>
        <w:t>i</w:t>
      </w:r>
      <w:r w:rsidRPr="00B171B8">
        <w:rPr>
          <w:rFonts w:ascii="Arial" w:hAnsi="Arial" w:cs="Arial"/>
        </w:rPr>
        <w:t>jek jedno od najnerazvijenijih</w:t>
      </w:r>
      <w:r w:rsidR="00945DBF">
        <w:rPr>
          <w:rFonts w:ascii="Arial" w:hAnsi="Arial" w:cs="Arial"/>
        </w:rPr>
        <w:t xml:space="preserve"> područja u Bosni i Hercegovini, </w:t>
      </w:r>
      <w:r w:rsidRPr="00B171B8">
        <w:rPr>
          <w:rFonts w:ascii="Arial" w:hAnsi="Arial" w:cs="Arial"/>
        </w:rPr>
        <w:t xml:space="preserve">što ukazuje na to koliko je ranije bilo loše stanje na području Kantona. </w:t>
      </w:r>
    </w:p>
    <w:p w:rsidR="00CE1A49" w:rsidRDefault="00CE1A49" w:rsidP="00977027">
      <w:pPr>
        <w:jc w:val="both"/>
        <w:rPr>
          <w:rFonts w:ascii="Arial" w:hAnsi="Arial" w:cs="Arial"/>
          <w:lang w:val="hr-HR"/>
        </w:rPr>
      </w:pPr>
      <w:r>
        <w:rPr>
          <w:rFonts w:ascii="Arial" w:hAnsi="Arial" w:cs="Arial"/>
          <w:lang w:val="hr-HR"/>
        </w:rPr>
        <w:t>Zbog svega navedenog</w:t>
      </w:r>
      <w:r w:rsidRPr="00B171B8">
        <w:rPr>
          <w:rFonts w:ascii="Arial" w:hAnsi="Arial" w:cs="Arial"/>
          <w:lang w:val="hr-HR"/>
        </w:rPr>
        <w:t xml:space="preserve"> kriteriji za raspodjelu sredstava</w:t>
      </w:r>
      <w:r w:rsidR="00B11A11">
        <w:rPr>
          <w:rFonts w:ascii="Arial" w:hAnsi="Arial" w:cs="Arial"/>
          <w:lang w:val="hr-HR"/>
        </w:rPr>
        <w:t>,</w:t>
      </w:r>
      <w:r w:rsidRPr="00B171B8">
        <w:rPr>
          <w:rFonts w:ascii="Arial" w:hAnsi="Arial" w:cs="Arial"/>
          <w:lang w:val="hr-HR"/>
        </w:rPr>
        <w:t xml:space="preserve"> odnosno sama raspodjela </w:t>
      </w:r>
      <w:r w:rsidR="00945DBF">
        <w:rPr>
          <w:rFonts w:ascii="Arial" w:hAnsi="Arial" w:cs="Arial"/>
          <w:lang w:val="hr-HR"/>
        </w:rPr>
        <w:t>su uv</w:t>
      </w:r>
      <w:r w:rsidR="00B11A11">
        <w:rPr>
          <w:rFonts w:ascii="Arial" w:hAnsi="Arial" w:cs="Arial"/>
          <w:lang w:val="hr-HR"/>
        </w:rPr>
        <w:t>i</w:t>
      </w:r>
      <w:r w:rsidR="00945DBF">
        <w:rPr>
          <w:rFonts w:ascii="Arial" w:hAnsi="Arial" w:cs="Arial"/>
          <w:lang w:val="hr-HR"/>
        </w:rPr>
        <w:t>jek trebali bit</w:t>
      </w:r>
      <w:r w:rsidRPr="00B171B8">
        <w:rPr>
          <w:rFonts w:ascii="Arial" w:hAnsi="Arial" w:cs="Arial"/>
          <w:lang w:val="hr-HR"/>
        </w:rPr>
        <w:t>i odre</w:t>
      </w:r>
      <w:r>
        <w:rPr>
          <w:rFonts w:ascii="Arial" w:hAnsi="Arial" w:cs="Arial"/>
          <w:lang w:val="hr-HR"/>
        </w:rPr>
        <w:t>đeni</w:t>
      </w:r>
      <w:r w:rsidRPr="00B171B8">
        <w:rPr>
          <w:rFonts w:ascii="Arial" w:hAnsi="Arial" w:cs="Arial"/>
          <w:lang w:val="hr-HR"/>
        </w:rPr>
        <w:t xml:space="preserve"> tako da isti budu u vezi sa svim nadležnostima kantona koje su utvrđene Ustavom </w:t>
      </w:r>
      <w:r>
        <w:rPr>
          <w:rFonts w:ascii="Arial" w:hAnsi="Arial" w:cs="Arial"/>
          <w:lang w:val="hr-HR"/>
        </w:rPr>
        <w:t>Federacije Bosne i Hercegovine</w:t>
      </w:r>
      <w:r w:rsidR="00945DBF">
        <w:rPr>
          <w:rFonts w:ascii="Arial" w:hAnsi="Arial" w:cs="Arial"/>
          <w:lang w:val="hr-HR"/>
        </w:rPr>
        <w:t>,</w:t>
      </w:r>
      <w:r>
        <w:rPr>
          <w:rFonts w:ascii="Arial" w:hAnsi="Arial" w:cs="Arial"/>
          <w:lang w:val="hr-HR"/>
        </w:rPr>
        <w:t xml:space="preserve"> </w:t>
      </w:r>
      <w:r w:rsidRPr="00B171B8">
        <w:rPr>
          <w:rFonts w:ascii="Arial" w:hAnsi="Arial" w:cs="Arial"/>
          <w:lang w:val="hr-HR"/>
        </w:rPr>
        <w:t>jer bi se na taj način omogućilo kantonima da finansiraju, a samim tim i izvršavaju svoje ustavne nadlež</w:t>
      </w:r>
      <w:r>
        <w:rPr>
          <w:rFonts w:ascii="Arial" w:hAnsi="Arial" w:cs="Arial"/>
          <w:lang w:val="hr-HR"/>
        </w:rPr>
        <w:t>nosti.</w:t>
      </w:r>
      <w:r w:rsidRPr="00B171B8">
        <w:rPr>
          <w:rFonts w:ascii="Arial" w:hAnsi="Arial" w:cs="Arial"/>
          <w:lang w:val="hr-HR"/>
        </w:rPr>
        <w:t xml:space="preserve"> </w:t>
      </w:r>
    </w:p>
    <w:p w:rsidR="00977027" w:rsidRDefault="00977027" w:rsidP="00977027">
      <w:pPr>
        <w:pStyle w:val="Default"/>
        <w:spacing w:line="276" w:lineRule="auto"/>
        <w:rPr>
          <w:sz w:val="30"/>
          <w:szCs w:val="30"/>
        </w:rPr>
      </w:pPr>
    </w:p>
    <w:p w:rsidR="00977027" w:rsidRDefault="00977027" w:rsidP="00373D29">
      <w:pPr>
        <w:pStyle w:val="Default"/>
        <w:rPr>
          <w:rFonts w:ascii="Arial" w:hAnsi="Arial" w:cs="Arial"/>
          <w:color w:val="auto"/>
          <w:sz w:val="22"/>
          <w:szCs w:val="22"/>
        </w:rPr>
      </w:pPr>
    </w:p>
    <w:p w:rsidR="00977027" w:rsidRDefault="00977027" w:rsidP="00373D29">
      <w:pPr>
        <w:pStyle w:val="Default"/>
        <w:rPr>
          <w:rFonts w:ascii="Arial" w:hAnsi="Arial" w:cs="Arial"/>
          <w:color w:val="auto"/>
          <w:sz w:val="22"/>
          <w:szCs w:val="22"/>
        </w:rPr>
      </w:pPr>
    </w:p>
    <w:p w:rsidR="00373D29" w:rsidRPr="00D80D6D" w:rsidRDefault="00373D29" w:rsidP="00373D29">
      <w:pPr>
        <w:pStyle w:val="Default"/>
        <w:rPr>
          <w:rFonts w:ascii="Arial" w:hAnsi="Arial" w:cs="Arial"/>
        </w:rPr>
      </w:pPr>
      <w:r w:rsidRPr="00D80D6D">
        <w:rPr>
          <w:rFonts w:ascii="Arial" w:hAnsi="Arial" w:cs="Arial"/>
          <w:b/>
          <w:bCs/>
        </w:rPr>
        <w:t xml:space="preserve">2. RASPODJELA JAVNIH PRIHODA OD INDIREKTNIH POREZA PO KANTONIMA U SKLADU SA POSTOJEĆIM KRITERIJIMA I PONDERIMA </w:t>
      </w:r>
    </w:p>
    <w:p w:rsidR="00D80D6D" w:rsidRDefault="00D80D6D" w:rsidP="00373D29">
      <w:pPr>
        <w:pStyle w:val="Default"/>
        <w:rPr>
          <w:sz w:val="26"/>
          <w:szCs w:val="26"/>
        </w:rPr>
      </w:pPr>
    </w:p>
    <w:p w:rsidR="00977027" w:rsidRDefault="00977027" w:rsidP="00373D29">
      <w:pPr>
        <w:pStyle w:val="Default"/>
        <w:rPr>
          <w:sz w:val="26"/>
          <w:szCs w:val="26"/>
        </w:rPr>
      </w:pPr>
    </w:p>
    <w:p w:rsidR="00373D29" w:rsidRPr="00373D29" w:rsidRDefault="00373D29" w:rsidP="00977027">
      <w:pPr>
        <w:pStyle w:val="Default"/>
        <w:spacing w:line="276" w:lineRule="auto"/>
        <w:jc w:val="both"/>
        <w:rPr>
          <w:rFonts w:ascii="Arial" w:hAnsi="Arial" w:cs="Arial"/>
          <w:sz w:val="22"/>
          <w:szCs w:val="22"/>
        </w:rPr>
      </w:pPr>
      <w:r w:rsidRPr="00373D29">
        <w:rPr>
          <w:rFonts w:ascii="Arial" w:hAnsi="Arial" w:cs="Arial"/>
          <w:sz w:val="22"/>
          <w:szCs w:val="22"/>
        </w:rPr>
        <w:t xml:space="preserve">Kriteriji i procentualni odnosi raspodjele javnih prihoda Federacije Bosne i Hercegovine su određeni Zakonom o pripadnosti javnih prihoda u Federaciji BIH („Službene novine Federacije BiH”, br. 22/06, 43/08, 22/09 i 35/14). Zakonom je uređena pripadnost javnih prihoda koji su ustanovljeni zakonima na teritoriji Federacije. Usvojen je kao rješenje pitanja raspodjele prihoda od indirektnih poreza u Federaciji nakon uvođenja poreza na dodatnu vrijednost (PDV) u BiH, sa primjenom od 01.01.2006. godine. U članu 20. Zakona o pripadnosti javnih prihoda u FBiH definisano je da prilikom izrade formula prikazanih u ovom Zakonu, Federalno ministarstvo </w:t>
      </w:r>
      <w:r w:rsidRPr="00373D29">
        <w:rPr>
          <w:rFonts w:ascii="Arial" w:hAnsi="Arial" w:cs="Arial"/>
          <w:sz w:val="22"/>
          <w:szCs w:val="22"/>
        </w:rPr>
        <w:lastRenderedPageBreak/>
        <w:t xml:space="preserve">finansija koristi podatke Federalnog zavoda za statistiku i/ili Agencije za statistiku BiH. </w:t>
      </w:r>
      <w:r w:rsidR="00FD0785">
        <w:rPr>
          <w:rFonts w:ascii="Arial" w:hAnsi="Arial" w:cs="Arial"/>
          <w:sz w:val="22"/>
          <w:szCs w:val="22"/>
        </w:rPr>
        <w:t>o</w:t>
      </w:r>
      <w:r w:rsidRPr="00373D29">
        <w:rPr>
          <w:rFonts w:ascii="Arial" w:hAnsi="Arial" w:cs="Arial"/>
          <w:sz w:val="22"/>
          <w:szCs w:val="22"/>
        </w:rPr>
        <w:t xml:space="preserve">dnosno, članom 12a stav 2. utvrđeno je da će Federalno ministarstvo finansija donijeti „Uputstvo kojim se određuju pojedinačna učešća kantona, jedinica lokalne samouprave i nadležnih javnih kantonalnih ustanova za ceste u prihodima od indirektnih poreza i načina raspoređivanja tih prihoda“ na godišnjem nivou. Za 2015. godinu, Uputstvo je doneseno i objavljeno u „Službenim novinama Federacije BiH“ br. 105/14, od 26.12.2014. godine (str. 51). </w:t>
      </w:r>
    </w:p>
    <w:p w:rsidR="00373D29" w:rsidRDefault="00373D29" w:rsidP="00977027">
      <w:pPr>
        <w:jc w:val="both"/>
        <w:rPr>
          <w:rFonts w:ascii="Arial" w:hAnsi="Arial" w:cs="Arial"/>
        </w:rPr>
      </w:pPr>
      <w:r w:rsidRPr="00373D29">
        <w:rPr>
          <w:rFonts w:ascii="Arial" w:hAnsi="Arial" w:cs="Arial"/>
        </w:rPr>
        <w:t>Za 2015. godinu, raspodjela javnih prihoda od indirektnih poreza između korisnika u Federaciji BiH vrši se na osnovu kriterija, prema kojem se u Budžet Federacije, od ukupno doznačenih sredstava od indirektnih poreza usmjerava 36,20%, kantonima 51,48%, jedinicama lokalne samouprave 8,42% i Direkciji za ceste 3,9%. Raspodjela javnih prihoda Federacije Bosne i Hercegov</w:t>
      </w:r>
      <w:r w:rsidR="00D80D6D">
        <w:rPr>
          <w:rFonts w:ascii="Arial" w:hAnsi="Arial" w:cs="Arial"/>
        </w:rPr>
        <w:t>ine sa Jedinstvenog računa (JR)</w:t>
      </w:r>
      <w:r w:rsidR="00D80D6D">
        <w:rPr>
          <w:rStyle w:val="FootnoteReference"/>
          <w:rFonts w:ascii="Arial" w:hAnsi="Arial" w:cs="Arial"/>
        </w:rPr>
        <w:footnoteReference w:id="2"/>
      </w:r>
      <w:r w:rsidRPr="00373D29">
        <w:rPr>
          <w:rFonts w:ascii="Arial" w:hAnsi="Arial" w:cs="Arial"/>
        </w:rPr>
        <w:t xml:space="preserve"> nakon otplate vanjskog duga, prema projekciji za 2015. godinu, prikazana je u tabeli 1. Projicirani iznos javnih prihoda FBiH, nakon otplate vanjskog duga za 2015. godinu, iznosi 2.333.467.383 KM. U ovom iznosu 844.715.193 KM (36,20%) čine sredstva Budžeta FBiH, 91.005.228 KM (3,90%) sredstva predviđena za Direkciju za ceste, 1.201.269.009 KM (51,48%) sredstva predviđena za kantone FBiH i 196.477.954 KM (8,42%) sredstva predviđena za općine i gradove FBiH.</w:t>
      </w:r>
    </w:p>
    <w:p w:rsidR="00373D29" w:rsidRPr="00994A10" w:rsidRDefault="00373D29" w:rsidP="00373D29">
      <w:pPr>
        <w:jc w:val="both"/>
        <w:rPr>
          <w:rFonts w:ascii="Garamond" w:hAnsi="Garamond" w:cs="Arial"/>
        </w:rPr>
      </w:pPr>
      <w:r w:rsidRPr="00994A10">
        <w:rPr>
          <w:rFonts w:ascii="Garamond" w:hAnsi="Garamond"/>
          <w:b/>
          <w:bCs/>
        </w:rPr>
        <w:t xml:space="preserve">Tabela 1. </w:t>
      </w:r>
      <w:r w:rsidRPr="00994A10">
        <w:rPr>
          <w:rFonts w:ascii="Garamond" w:hAnsi="Garamond"/>
        </w:rPr>
        <w:t>Projicirani iznosi raspodjele javnih prihoda Federacije BiH sa JR nakon otplate vanjskog duga, za 2015. godinu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1"/>
        <w:gridCol w:w="4731"/>
      </w:tblGrid>
      <w:tr w:rsidR="00373D29" w:rsidTr="00373D29">
        <w:trPr>
          <w:trHeight w:val="110"/>
        </w:trPr>
        <w:tc>
          <w:tcPr>
            <w:tcW w:w="4731" w:type="dxa"/>
          </w:tcPr>
          <w:p w:rsidR="00373D29" w:rsidRDefault="00373D29">
            <w:pPr>
              <w:pStyle w:val="Default"/>
              <w:rPr>
                <w:sz w:val="23"/>
                <w:szCs w:val="23"/>
              </w:rPr>
            </w:pPr>
            <w:r>
              <w:rPr>
                <w:b/>
                <w:bCs/>
                <w:sz w:val="23"/>
                <w:szCs w:val="23"/>
              </w:rPr>
              <w:t xml:space="preserve">Udio Federacije u prihodima sa JR nakon otplate vanjskog duga </w:t>
            </w:r>
          </w:p>
        </w:tc>
        <w:tc>
          <w:tcPr>
            <w:tcW w:w="4731" w:type="dxa"/>
          </w:tcPr>
          <w:p w:rsidR="00373D29" w:rsidRDefault="00373D29">
            <w:pPr>
              <w:pStyle w:val="Default"/>
              <w:rPr>
                <w:sz w:val="23"/>
                <w:szCs w:val="23"/>
              </w:rPr>
            </w:pPr>
            <w:r>
              <w:rPr>
                <w:b/>
                <w:bCs/>
                <w:sz w:val="23"/>
                <w:szCs w:val="23"/>
              </w:rPr>
              <w:t xml:space="preserve">2.333.467.383 KM </w:t>
            </w:r>
          </w:p>
        </w:tc>
      </w:tr>
      <w:tr w:rsidR="00373D29" w:rsidTr="00373D29">
        <w:trPr>
          <w:trHeight w:val="110"/>
        </w:trPr>
        <w:tc>
          <w:tcPr>
            <w:tcW w:w="4731" w:type="dxa"/>
          </w:tcPr>
          <w:p w:rsidR="00373D29" w:rsidRDefault="00373D29">
            <w:pPr>
              <w:pStyle w:val="Default"/>
              <w:rPr>
                <w:sz w:val="23"/>
                <w:szCs w:val="23"/>
              </w:rPr>
            </w:pPr>
            <w:r>
              <w:rPr>
                <w:sz w:val="23"/>
                <w:szCs w:val="23"/>
              </w:rPr>
              <w:t xml:space="preserve">Udio FBiH prihoda sa JR za Budžet Federacije </w:t>
            </w:r>
          </w:p>
        </w:tc>
        <w:tc>
          <w:tcPr>
            <w:tcW w:w="4731" w:type="dxa"/>
          </w:tcPr>
          <w:p w:rsidR="00373D29" w:rsidRDefault="00373D29">
            <w:pPr>
              <w:pStyle w:val="Default"/>
              <w:rPr>
                <w:sz w:val="23"/>
                <w:szCs w:val="23"/>
              </w:rPr>
            </w:pPr>
            <w:r>
              <w:rPr>
                <w:b/>
                <w:bCs/>
                <w:sz w:val="23"/>
                <w:szCs w:val="23"/>
              </w:rPr>
              <w:t xml:space="preserve">36,20% </w:t>
            </w:r>
          </w:p>
        </w:tc>
      </w:tr>
      <w:tr w:rsidR="00373D29" w:rsidTr="00373D29">
        <w:trPr>
          <w:trHeight w:val="110"/>
        </w:trPr>
        <w:tc>
          <w:tcPr>
            <w:tcW w:w="4731" w:type="dxa"/>
          </w:tcPr>
          <w:p w:rsidR="00373D29" w:rsidRDefault="00373D29">
            <w:pPr>
              <w:pStyle w:val="Default"/>
              <w:rPr>
                <w:sz w:val="23"/>
                <w:szCs w:val="23"/>
              </w:rPr>
            </w:pPr>
            <w:r>
              <w:rPr>
                <w:b/>
                <w:bCs/>
                <w:sz w:val="23"/>
                <w:szCs w:val="23"/>
              </w:rPr>
              <w:t xml:space="preserve">Sredstva Budžeta FBiH sa JR </w:t>
            </w:r>
          </w:p>
        </w:tc>
        <w:tc>
          <w:tcPr>
            <w:tcW w:w="4731" w:type="dxa"/>
          </w:tcPr>
          <w:p w:rsidR="00373D29" w:rsidRDefault="00373D29">
            <w:pPr>
              <w:pStyle w:val="Default"/>
              <w:rPr>
                <w:sz w:val="23"/>
                <w:szCs w:val="23"/>
              </w:rPr>
            </w:pPr>
            <w:r>
              <w:rPr>
                <w:sz w:val="23"/>
                <w:szCs w:val="23"/>
              </w:rPr>
              <w:t xml:space="preserve">844.715.193 KM </w:t>
            </w:r>
          </w:p>
        </w:tc>
      </w:tr>
      <w:tr w:rsidR="00373D29" w:rsidTr="00373D29">
        <w:trPr>
          <w:trHeight w:val="110"/>
        </w:trPr>
        <w:tc>
          <w:tcPr>
            <w:tcW w:w="4731" w:type="dxa"/>
          </w:tcPr>
          <w:p w:rsidR="00373D29" w:rsidRDefault="00373D29">
            <w:pPr>
              <w:pStyle w:val="Default"/>
              <w:rPr>
                <w:sz w:val="23"/>
                <w:szCs w:val="23"/>
              </w:rPr>
            </w:pPr>
            <w:r>
              <w:rPr>
                <w:sz w:val="23"/>
                <w:szCs w:val="23"/>
              </w:rPr>
              <w:t xml:space="preserve">Udio FBiH prihoda sa JR za Direkciju za ceste </w:t>
            </w:r>
          </w:p>
        </w:tc>
        <w:tc>
          <w:tcPr>
            <w:tcW w:w="4731" w:type="dxa"/>
          </w:tcPr>
          <w:p w:rsidR="00373D29" w:rsidRDefault="00373D29">
            <w:pPr>
              <w:pStyle w:val="Default"/>
              <w:rPr>
                <w:sz w:val="23"/>
                <w:szCs w:val="23"/>
              </w:rPr>
            </w:pPr>
            <w:r>
              <w:rPr>
                <w:b/>
                <w:bCs/>
                <w:sz w:val="23"/>
                <w:szCs w:val="23"/>
              </w:rPr>
              <w:t xml:space="preserve">3,90% </w:t>
            </w:r>
          </w:p>
        </w:tc>
      </w:tr>
      <w:tr w:rsidR="00373D29" w:rsidTr="00373D29">
        <w:trPr>
          <w:trHeight w:val="110"/>
        </w:trPr>
        <w:tc>
          <w:tcPr>
            <w:tcW w:w="4731" w:type="dxa"/>
          </w:tcPr>
          <w:p w:rsidR="00373D29" w:rsidRDefault="00373D29">
            <w:pPr>
              <w:pStyle w:val="Default"/>
              <w:rPr>
                <w:sz w:val="23"/>
                <w:szCs w:val="23"/>
              </w:rPr>
            </w:pPr>
            <w:r>
              <w:rPr>
                <w:sz w:val="23"/>
                <w:szCs w:val="23"/>
              </w:rPr>
              <w:t xml:space="preserve">Sredstva Direkcije za ceste sa JR </w:t>
            </w:r>
          </w:p>
        </w:tc>
        <w:tc>
          <w:tcPr>
            <w:tcW w:w="4731" w:type="dxa"/>
          </w:tcPr>
          <w:p w:rsidR="00373D29" w:rsidRDefault="00373D29">
            <w:pPr>
              <w:pStyle w:val="Default"/>
              <w:rPr>
                <w:sz w:val="23"/>
                <w:szCs w:val="23"/>
              </w:rPr>
            </w:pPr>
            <w:r>
              <w:rPr>
                <w:sz w:val="23"/>
                <w:szCs w:val="23"/>
              </w:rPr>
              <w:t xml:space="preserve">91.005.228 KM </w:t>
            </w:r>
          </w:p>
        </w:tc>
      </w:tr>
      <w:tr w:rsidR="00373D29" w:rsidTr="00373D29">
        <w:trPr>
          <w:trHeight w:val="110"/>
        </w:trPr>
        <w:tc>
          <w:tcPr>
            <w:tcW w:w="4731" w:type="dxa"/>
          </w:tcPr>
          <w:p w:rsidR="00373D29" w:rsidRDefault="00373D29">
            <w:pPr>
              <w:pStyle w:val="Default"/>
              <w:rPr>
                <w:sz w:val="23"/>
                <w:szCs w:val="23"/>
              </w:rPr>
            </w:pPr>
            <w:r>
              <w:rPr>
                <w:b/>
                <w:bCs/>
                <w:sz w:val="23"/>
                <w:szCs w:val="23"/>
              </w:rPr>
              <w:t xml:space="preserve">Udio FBiH prihoda sa JR za kantone </w:t>
            </w:r>
          </w:p>
        </w:tc>
        <w:tc>
          <w:tcPr>
            <w:tcW w:w="4731" w:type="dxa"/>
          </w:tcPr>
          <w:p w:rsidR="00373D29" w:rsidRDefault="00373D29">
            <w:pPr>
              <w:pStyle w:val="Default"/>
              <w:rPr>
                <w:sz w:val="23"/>
                <w:szCs w:val="23"/>
              </w:rPr>
            </w:pPr>
            <w:r>
              <w:rPr>
                <w:b/>
                <w:bCs/>
                <w:sz w:val="23"/>
                <w:szCs w:val="23"/>
              </w:rPr>
              <w:t xml:space="preserve">51,48% </w:t>
            </w:r>
          </w:p>
        </w:tc>
      </w:tr>
      <w:tr w:rsidR="00373D29" w:rsidTr="00373D29">
        <w:trPr>
          <w:trHeight w:val="110"/>
        </w:trPr>
        <w:tc>
          <w:tcPr>
            <w:tcW w:w="4731" w:type="dxa"/>
          </w:tcPr>
          <w:p w:rsidR="00373D29" w:rsidRDefault="00373D29">
            <w:pPr>
              <w:pStyle w:val="Default"/>
              <w:rPr>
                <w:sz w:val="23"/>
                <w:szCs w:val="23"/>
              </w:rPr>
            </w:pPr>
            <w:r>
              <w:rPr>
                <w:sz w:val="23"/>
                <w:szCs w:val="23"/>
              </w:rPr>
              <w:t xml:space="preserve">Sredstva kantona sa JR </w:t>
            </w:r>
          </w:p>
        </w:tc>
        <w:tc>
          <w:tcPr>
            <w:tcW w:w="4731" w:type="dxa"/>
          </w:tcPr>
          <w:p w:rsidR="00373D29" w:rsidRDefault="00373D29">
            <w:pPr>
              <w:pStyle w:val="Default"/>
              <w:rPr>
                <w:sz w:val="23"/>
                <w:szCs w:val="23"/>
              </w:rPr>
            </w:pPr>
            <w:r>
              <w:rPr>
                <w:sz w:val="23"/>
                <w:szCs w:val="23"/>
              </w:rPr>
              <w:t xml:space="preserve">1.201.269.009 KM </w:t>
            </w:r>
          </w:p>
        </w:tc>
      </w:tr>
      <w:tr w:rsidR="00373D29" w:rsidTr="00373D29">
        <w:trPr>
          <w:trHeight w:val="110"/>
        </w:trPr>
        <w:tc>
          <w:tcPr>
            <w:tcW w:w="4731" w:type="dxa"/>
          </w:tcPr>
          <w:p w:rsidR="00373D29" w:rsidRDefault="00373D29">
            <w:pPr>
              <w:pStyle w:val="Default"/>
              <w:rPr>
                <w:sz w:val="23"/>
                <w:szCs w:val="23"/>
              </w:rPr>
            </w:pPr>
            <w:r>
              <w:rPr>
                <w:b/>
                <w:bCs/>
                <w:sz w:val="23"/>
                <w:szCs w:val="23"/>
              </w:rPr>
              <w:t xml:space="preserve">Udio FBiH prihoda sa JR za općine i gradove </w:t>
            </w:r>
          </w:p>
        </w:tc>
        <w:tc>
          <w:tcPr>
            <w:tcW w:w="4731" w:type="dxa"/>
          </w:tcPr>
          <w:p w:rsidR="00373D29" w:rsidRDefault="00373D29">
            <w:pPr>
              <w:pStyle w:val="Default"/>
              <w:rPr>
                <w:sz w:val="23"/>
                <w:szCs w:val="23"/>
              </w:rPr>
            </w:pPr>
            <w:r>
              <w:rPr>
                <w:b/>
                <w:bCs/>
                <w:sz w:val="23"/>
                <w:szCs w:val="23"/>
              </w:rPr>
              <w:t xml:space="preserve">8,42% </w:t>
            </w:r>
          </w:p>
        </w:tc>
      </w:tr>
      <w:tr w:rsidR="00373D29" w:rsidTr="00373D29">
        <w:trPr>
          <w:trHeight w:val="110"/>
        </w:trPr>
        <w:tc>
          <w:tcPr>
            <w:tcW w:w="4731" w:type="dxa"/>
          </w:tcPr>
          <w:p w:rsidR="00373D29" w:rsidRDefault="00373D29">
            <w:pPr>
              <w:pStyle w:val="Default"/>
              <w:rPr>
                <w:sz w:val="23"/>
                <w:szCs w:val="23"/>
              </w:rPr>
            </w:pPr>
            <w:r>
              <w:rPr>
                <w:sz w:val="23"/>
                <w:szCs w:val="23"/>
              </w:rPr>
              <w:t xml:space="preserve">Sredstva općina i gradova sa JR </w:t>
            </w:r>
          </w:p>
        </w:tc>
        <w:tc>
          <w:tcPr>
            <w:tcW w:w="4731" w:type="dxa"/>
          </w:tcPr>
          <w:p w:rsidR="00373D29" w:rsidRDefault="00373D29">
            <w:pPr>
              <w:pStyle w:val="Default"/>
              <w:rPr>
                <w:sz w:val="23"/>
                <w:szCs w:val="23"/>
              </w:rPr>
            </w:pPr>
            <w:r>
              <w:rPr>
                <w:sz w:val="23"/>
                <w:szCs w:val="23"/>
              </w:rPr>
              <w:t xml:space="preserve">196.477.954 KM </w:t>
            </w:r>
          </w:p>
        </w:tc>
      </w:tr>
    </w:tbl>
    <w:p w:rsidR="00D80D6D" w:rsidRDefault="00D80D6D" w:rsidP="00373D29">
      <w:pPr>
        <w:pStyle w:val="Default"/>
        <w:rPr>
          <w:rFonts w:ascii="Arial" w:hAnsi="Arial" w:cs="Arial"/>
          <w:sz w:val="22"/>
          <w:szCs w:val="22"/>
        </w:rPr>
      </w:pPr>
    </w:p>
    <w:p w:rsidR="00977027" w:rsidRDefault="00977027" w:rsidP="00373D29">
      <w:pPr>
        <w:pStyle w:val="Default"/>
        <w:rPr>
          <w:rFonts w:ascii="Arial" w:hAnsi="Arial" w:cs="Arial"/>
          <w:sz w:val="22"/>
          <w:szCs w:val="22"/>
        </w:rPr>
      </w:pPr>
    </w:p>
    <w:p w:rsidR="00373D29" w:rsidRPr="00373D29" w:rsidRDefault="00373D29" w:rsidP="00977027">
      <w:pPr>
        <w:pStyle w:val="Default"/>
        <w:spacing w:line="276" w:lineRule="auto"/>
        <w:rPr>
          <w:rFonts w:ascii="Arial" w:hAnsi="Arial" w:cs="Arial"/>
          <w:sz w:val="22"/>
          <w:szCs w:val="22"/>
        </w:rPr>
      </w:pPr>
      <w:r w:rsidRPr="00373D29">
        <w:rPr>
          <w:rFonts w:ascii="Arial" w:hAnsi="Arial" w:cs="Arial"/>
          <w:sz w:val="22"/>
          <w:szCs w:val="22"/>
        </w:rPr>
        <w:t xml:space="preserve">Pri raspodjeli 51,48% javnih prihoda FBiH sa JR (nakon otplate vanjskog duga) predviđenih za kantone primjenjuju se 4 kriterija (tabela 2.): </w:t>
      </w:r>
    </w:p>
    <w:p w:rsidR="00373D29" w:rsidRPr="00373D29" w:rsidRDefault="00373D29" w:rsidP="00977027">
      <w:pPr>
        <w:pStyle w:val="Default"/>
        <w:spacing w:after="23" w:line="276" w:lineRule="auto"/>
        <w:rPr>
          <w:rFonts w:ascii="Arial" w:hAnsi="Arial" w:cs="Arial"/>
          <w:sz w:val="22"/>
          <w:szCs w:val="22"/>
        </w:rPr>
      </w:pPr>
      <w:r w:rsidRPr="00373D29">
        <w:rPr>
          <w:rFonts w:ascii="Arial" w:hAnsi="Arial" w:cs="Arial"/>
          <w:sz w:val="22"/>
          <w:szCs w:val="22"/>
        </w:rPr>
        <w:t xml:space="preserve">1. po stanovniku, prema kojem se raspoređuje udio od 57,00% ukupnih sredstava, </w:t>
      </w:r>
    </w:p>
    <w:p w:rsidR="00373D29" w:rsidRPr="00373D29" w:rsidRDefault="00373D29" w:rsidP="00977027">
      <w:pPr>
        <w:pStyle w:val="Default"/>
        <w:spacing w:after="23" w:line="276" w:lineRule="auto"/>
        <w:rPr>
          <w:rFonts w:ascii="Arial" w:hAnsi="Arial" w:cs="Arial"/>
          <w:sz w:val="22"/>
          <w:szCs w:val="22"/>
        </w:rPr>
      </w:pPr>
      <w:r w:rsidRPr="00373D29">
        <w:rPr>
          <w:rFonts w:ascii="Arial" w:hAnsi="Arial" w:cs="Arial"/>
          <w:sz w:val="22"/>
          <w:szCs w:val="22"/>
        </w:rPr>
        <w:t xml:space="preserve">2. po km2, prema kojem se raspoređuje udio od 6,00% ukupnih sredstava, </w:t>
      </w:r>
    </w:p>
    <w:p w:rsidR="00373D29" w:rsidRPr="00373D29" w:rsidRDefault="00373D29" w:rsidP="00977027">
      <w:pPr>
        <w:pStyle w:val="Default"/>
        <w:spacing w:after="23" w:line="276" w:lineRule="auto"/>
        <w:rPr>
          <w:rFonts w:ascii="Arial" w:hAnsi="Arial" w:cs="Arial"/>
          <w:sz w:val="22"/>
          <w:szCs w:val="22"/>
        </w:rPr>
      </w:pPr>
      <w:r w:rsidRPr="00373D29">
        <w:rPr>
          <w:rFonts w:ascii="Arial" w:hAnsi="Arial" w:cs="Arial"/>
          <w:sz w:val="22"/>
          <w:szCs w:val="22"/>
        </w:rPr>
        <w:t>3. po učeniku osnovne škole, prema kojem se ra</w:t>
      </w:r>
      <w:r w:rsidR="00945DBF">
        <w:rPr>
          <w:rFonts w:ascii="Arial" w:hAnsi="Arial" w:cs="Arial"/>
          <w:sz w:val="22"/>
          <w:szCs w:val="22"/>
        </w:rPr>
        <w:t>s</w:t>
      </w:r>
      <w:r w:rsidRPr="00373D29">
        <w:rPr>
          <w:rFonts w:ascii="Arial" w:hAnsi="Arial" w:cs="Arial"/>
          <w:sz w:val="22"/>
          <w:szCs w:val="22"/>
        </w:rPr>
        <w:t xml:space="preserve">poređuje udio od 24,00% ukupnih sredstava i </w:t>
      </w:r>
    </w:p>
    <w:p w:rsidR="00373D29" w:rsidRPr="00373D29" w:rsidRDefault="00373D29" w:rsidP="00977027">
      <w:pPr>
        <w:pStyle w:val="Default"/>
        <w:spacing w:line="276" w:lineRule="auto"/>
        <w:rPr>
          <w:rFonts w:ascii="Arial" w:hAnsi="Arial" w:cs="Arial"/>
          <w:sz w:val="22"/>
          <w:szCs w:val="22"/>
        </w:rPr>
      </w:pPr>
      <w:r w:rsidRPr="00373D29">
        <w:rPr>
          <w:rFonts w:ascii="Arial" w:hAnsi="Arial" w:cs="Arial"/>
          <w:sz w:val="22"/>
          <w:szCs w:val="22"/>
        </w:rPr>
        <w:t xml:space="preserve">4. po učeniku srednje škole, prema kojem se raspoređuje udio od 13,00% ukupnih sredstava. </w:t>
      </w:r>
    </w:p>
    <w:p w:rsidR="00373D29" w:rsidRPr="00373D29" w:rsidRDefault="00373D29" w:rsidP="00977027">
      <w:pPr>
        <w:pStyle w:val="Default"/>
        <w:spacing w:line="276" w:lineRule="auto"/>
        <w:rPr>
          <w:rFonts w:ascii="Arial" w:hAnsi="Arial" w:cs="Arial"/>
          <w:sz w:val="22"/>
          <w:szCs w:val="22"/>
        </w:rPr>
      </w:pPr>
    </w:p>
    <w:p w:rsidR="00373D29" w:rsidRPr="00373D29" w:rsidRDefault="00373D29" w:rsidP="00977027">
      <w:pPr>
        <w:pStyle w:val="Default"/>
        <w:spacing w:line="276" w:lineRule="auto"/>
        <w:rPr>
          <w:rFonts w:ascii="Arial" w:hAnsi="Arial" w:cs="Arial"/>
          <w:sz w:val="22"/>
          <w:szCs w:val="22"/>
        </w:rPr>
      </w:pPr>
      <w:r w:rsidRPr="00373D29">
        <w:rPr>
          <w:rFonts w:ascii="Arial" w:hAnsi="Arial" w:cs="Arial"/>
          <w:sz w:val="22"/>
          <w:szCs w:val="22"/>
        </w:rPr>
        <w:t>Dodatni kriteriji koji se primjenjuju za 4 kantona FBiH su ponderi koji se obračunavaju uz sva 4 kriterija raspodjele javnih prihoda. Ponderi iznose 2,0 za Kanton Sarajevo, 1,8</w:t>
      </w:r>
      <w:r w:rsidR="00945DBF">
        <w:rPr>
          <w:rFonts w:ascii="Arial" w:hAnsi="Arial" w:cs="Arial"/>
          <w:sz w:val="22"/>
          <w:szCs w:val="22"/>
        </w:rPr>
        <w:t xml:space="preserve"> za Bosansko-podrinjski kanton, </w:t>
      </w:r>
      <w:r w:rsidRPr="00373D29">
        <w:rPr>
          <w:rFonts w:ascii="Arial" w:hAnsi="Arial" w:cs="Arial"/>
          <w:sz w:val="22"/>
          <w:szCs w:val="22"/>
        </w:rPr>
        <w:t>1,5 za Posav</w:t>
      </w:r>
      <w:r w:rsidR="00945DBF">
        <w:rPr>
          <w:rFonts w:ascii="Arial" w:hAnsi="Arial" w:cs="Arial"/>
          <w:sz w:val="22"/>
          <w:szCs w:val="22"/>
        </w:rPr>
        <w:t xml:space="preserve">ski kanton i </w:t>
      </w:r>
      <w:r w:rsidR="00945DBF" w:rsidRPr="00373D29">
        <w:rPr>
          <w:rFonts w:ascii="Arial" w:hAnsi="Arial" w:cs="Arial"/>
          <w:sz w:val="22"/>
          <w:szCs w:val="22"/>
        </w:rPr>
        <w:t xml:space="preserve">1,1 za Kanton 10 </w:t>
      </w:r>
      <w:r w:rsidRPr="00373D29">
        <w:rPr>
          <w:rFonts w:ascii="Arial" w:hAnsi="Arial" w:cs="Arial"/>
          <w:sz w:val="22"/>
          <w:szCs w:val="22"/>
        </w:rPr>
        <w:t xml:space="preserve"> </w:t>
      </w:r>
    </w:p>
    <w:p w:rsidR="00CE711D" w:rsidRDefault="00373D29" w:rsidP="00977027">
      <w:pPr>
        <w:jc w:val="both"/>
        <w:rPr>
          <w:rFonts w:ascii="Arial" w:hAnsi="Arial" w:cs="Arial"/>
        </w:rPr>
      </w:pPr>
      <w:r w:rsidRPr="00373D29">
        <w:rPr>
          <w:rFonts w:ascii="Arial" w:hAnsi="Arial" w:cs="Arial"/>
        </w:rPr>
        <w:lastRenderedPageBreak/>
        <w:t>Slijedom navedenih kriterija, dobiveni su projicirani iznosi raspodjele javnih prihoda FBiH sa JR (nakon otplate vanjskog duga) za 2015. godinu, pri čemu se iznos od 1.201.269.009 KM raspoređuje na 684.723.335 KM po kriteriju stanovnika, 72.076.141 KM po kriteriju površine u km2, 288.304.562 KM po kriteriju učenika osnovne škole i 156.164.971 KM po kriteriju učenika srednje škole.</w:t>
      </w:r>
    </w:p>
    <w:p w:rsidR="007451D9" w:rsidRDefault="0037171E" w:rsidP="00977027">
      <w:pPr>
        <w:pStyle w:val="Default"/>
        <w:spacing w:line="276" w:lineRule="auto"/>
        <w:jc w:val="both"/>
        <w:rPr>
          <w:rFonts w:ascii="Arial" w:hAnsi="Arial" w:cs="Arial"/>
          <w:sz w:val="22"/>
          <w:szCs w:val="22"/>
        </w:rPr>
      </w:pPr>
      <w:r w:rsidRPr="00CE711D">
        <w:rPr>
          <w:rFonts w:ascii="Arial" w:hAnsi="Arial" w:cs="Arial"/>
          <w:sz w:val="22"/>
          <w:szCs w:val="22"/>
        </w:rPr>
        <w:t>Dobiveni pojedinačni iznosi u KM po osnovu kriterija</w:t>
      </w:r>
      <w:r w:rsidR="007451D9">
        <w:rPr>
          <w:rFonts w:ascii="Arial" w:hAnsi="Arial" w:cs="Arial"/>
          <w:sz w:val="22"/>
          <w:szCs w:val="22"/>
        </w:rPr>
        <w:t xml:space="preserve"> stanovništva, koji se množi</w:t>
      </w:r>
      <w:r w:rsidRPr="00CE711D">
        <w:rPr>
          <w:rFonts w:ascii="Arial" w:hAnsi="Arial" w:cs="Arial"/>
          <w:sz w:val="22"/>
          <w:szCs w:val="22"/>
        </w:rPr>
        <w:t xml:space="preserve"> sa datim pokazateljem, također, su prikazani u tabeli 2., i prema projekciji za 2015. godinu iznose 241,7 KM po stanovniku</w:t>
      </w:r>
      <w:r w:rsidR="007451D9">
        <w:rPr>
          <w:rFonts w:ascii="Arial" w:hAnsi="Arial" w:cs="Arial"/>
          <w:sz w:val="22"/>
          <w:szCs w:val="22"/>
        </w:rPr>
        <w:t>.</w:t>
      </w:r>
    </w:p>
    <w:p w:rsidR="007451D9" w:rsidRDefault="007451D9" w:rsidP="0037171E">
      <w:pPr>
        <w:pStyle w:val="Default"/>
        <w:jc w:val="both"/>
        <w:rPr>
          <w:rFonts w:ascii="Arial" w:hAnsi="Arial" w:cs="Arial"/>
          <w:sz w:val="22"/>
          <w:szCs w:val="22"/>
        </w:rPr>
      </w:pPr>
    </w:p>
    <w:p w:rsidR="00945DBF" w:rsidRDefault="00945DBF" w:rsidP="0037171E">
      <w:pPr>
        <w:pStyle w:val="Default"/>
        <w:jc w:val="both"/>
        <w:rPr>
          <w:rFonts w:ascii="Arial" w:hAnsi="Arial" w:cs="Arial"/>
          <w:sz w:val="22"/>
          <w:szCs w:val="22"/>
        </w:rPr>
      </w:pPr>
    </w:p>
    <w:p w:rsidR="00373D29" w:rsidRPr="00994A10" w:rsidRDefault="00CE711D" w:rsidP="00373D29">
      <w:pPr>
        <w:jc w:val="both"/>
        <w:rPr>
          <w:rFonts w:ascii="Garamond" w:hAnsi="Garamond" w:cs="Arial"/>
        </w:rPr>
      </w:pPr>
      <w:r w:rsidRPr="00994A10">
        <w:rPr>
          <w:rFonts w:ascii="Garamond" w:hAnsi="Garamond"/>
          <w:b/>
          <w:bCs/>
        </w:rPr>
        <w:t xml:space="preserve">Tabela 2. </w:t>
      </w:r>
      <w:r w:rsidRPr="00994A10">
        <w:rPr>
          <w:rFonts w:ascii="Garamond" w:hAnsi="Garamond"/>
        </w:rPr>
        <w:t>Kriteriji raspodjele javnih prihoda FBiH sa JR (nakon otplate vanjskog duga), predviđenih za kantone, sa projiciranim iznosima za 2015. godinu</w:t>
      </w:r>
    </w:p>
    <w:tbl>
      <w:tblPr>
        <w:tblW w:w="0" w:type="auto"/>
        <w:tblBorders>
          <w:top w:val="nil"/>
          <w:left w:val="nil"/>
          <w:bottom w:val="nil"/>
          <w:right w:val="nil"/>
        </w:tblBorders>
        <w:tblLayout w:type="fixed"/>
        <w:tblLook w:val="0000"/>
      </w:tblPr>
      <w:tblGrid>
        <w:gridCol w:w="5495"/>
        <w:gridCol w:w="1701"/>
        <w:gridCol w:w="1847"/>
      </w:tblGrid>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Kriterij </w:t>
            </w:r>
          </w:p>
        </w:tc>
        <w:tc>
          <w:tcPr>
            <w:tcW w:w="1701"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Iznos (KM) </w:t>
            </w:r>
          </w:p>
        </w:tc>
        <w:tc>
          <w:tcPr>
            <w:tcW w:w="1847"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Udio </w:t>
            </w:r>
          </w:p>
        </w:tc>
      </w:tr>
      <w:tr w:rsidR="00373D29" w:rsidTr="00CE711D">
        <w:trPr>
          <w:trHeight w:val="244"/>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Udio prihoda FBiH sa JR nakon otplate vanjskog duga iskorišten za kantone </w:t>
            </w:r>
          </w:p>
        </w:tc>
        <w:tc>
          <w:tcPr>
            <w:tcW w:w="1701"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1.201.269.009 </w:t>
            </w:r>
          </w:p>
        </w:tc>
        <w:tc>
          <w:tcPr>
            <w:tcW w:w="1847"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51,48% </w:t>
            </w:r>
          </w:p>
        </w:tc>
      </w:tr>
      <w:tr w:rsidR="00373D29" w:rsidTr="00373D29">
        <w:trPr>
          <w:trHeight w:val="110"/>
        </w:trPr>
        <w:tc>
          <w:tcPr>
            <w:tcW w:w="9043" w:type="dxa"/>
            <w:gridSpan w:val="3"/>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Kriteriji raspodjele za kantone prikazani kao udio u ukupnoj sumi sredstava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Po stanovniku </w:t>
            </w:r>
          </w:p>
        </w:tc>
        <w:tc>
          <w:tcPr>
            <w:tcW w:w="1701"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684.723.335 </w:t>
            </w:r>
          </w:p>
        </w:tc>
        <w:tc>
          <w:tcPr>
            <w:tcW w:w="1847"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57,00% </w:t>
            </w:r>
          </w:p>
        </w:tc>
      </w:tr>
      <w:tr w:rsidR="00373D29" w:rsidTr="00CE711D">
        <w:trPr>
          <w:trHeight w:val="127"/>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14"/>
                <w:szCs w:val="14"/>
              </w:rPr>
            </w:pPr>
            <w:r>
              <w:rPr>
                <w:b/>
                <w:bCs/>
                <w:sz w:val="23"/>
                <w:szCs w:val="23"/>
              </w:rPr>
              <w:t>Po km</w:t>
            </w:r>
            <w:r>
              <w:rPr>
                <w:b/>
                <w:bCs/>
                <w:sz w:val="14"/>
                <w:szCs w:val="14"/>
              </w:rPr>
              <w:t xml:space="preserve">2 </w:t>
            </w:r>
          </w:p>
        </w:tc>
        <w:tc>
          <w:tcPr>
            <w:tcW w:w="1701"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72.076.141 </w:t>
            </w:r>
          </w:p>
        </w:tc>
        <w:tc>
          <w:tcPr>
            <w:tcW w:w="1847"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6,00%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Po učeniku osnovne škole </w:t>
            </w:r>
          </w:p>
        </w:tc>
        <w:tc>
          <w:tcPr>
            <w:tcW w:w="1701"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288.304.562 </w:t>
            </w:r>
          </w:p>
        </w:tc>
        <w:tc>
          <w:tcPr>
            <w:tcW w:w="1847"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24,00%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Po učeniku srednje škole </w:t>
            </w:r>
          </w:p>
        </w:tc>
        <w:tc>
          <w:tcPr>
            <w:tcW w:w="1701"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156.164.971 </w:t>
            </w:r>
          </w:p>
        </w:tc>
        <w:tc>
          <w:tcPr>
            <w:tcW w:w="1847"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13,00% </w:t>
            </w:r>
          </w:p>
        </w:tc>
      </w:tr>
      <w:tr w:rsidR="00373D29" w:rsidTr="00373D29">
        <w:trPr>
          <w:trHeight w:val="110"/>
        </w:trPr>
        <w:tc>
          <w:tcPr>
            <w:tcW w:w="9043" w:type="dxa"/>
            <w:gridSpan w:val="3"/>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Dodatni ponderi za 4 kantona FBiH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Dodatni ponder za Kanton Sarajevo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2,0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Dodatni ponder za Bosansko-podrinjski kanton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1,8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Dodatni ponder za Kanton 10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1,1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Dodatni ponder za Posavski kanton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1,5 </w:t>
            </w:r>
          </w:p>
        </w:tc>
      </w:tr>
      <w:tr w:rsidR="00373D29" w:rsidTr="00373D29">
        <w:trPr>
          <w:trHeight w:val="110"/>
        </w:trPr>
        <w:tc>
          <w:tcPr>
            <w:tcW w:w="9043" w:type="dxa"/>
            <w:gridSpan w:val="3"/>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b/>
                <w:bCs/>
                <w:sz w:val="23"/>
                <w:szCs w:val="23"/>
              </w:rPr>
              <w:t xml:space="preserve">Izračuni suma dijela za sva 4 kriterija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Suma dijela po stanovniku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241,7 KM </w:t>
            </w:r>
          </w:p>
        </w:tc>
      </w:tr>
      <w:tr w:rsidR="00373D29" w:rsidTr="00CE711D">
        <w:trPr>
          <w:trHeight w:val="127"/>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14"/>
                <w:szCs w:val="14"/>
              </w:rPr>
            </w:pPr>
            <w:r>
              <w:rPr>
                <w:sz w:val="23"/>
                <w:szCs w:val="23"/>
              </w:rPr>
              <w:t>Suma dijela po km</w:t>
            </w:r>
            <w:r>
              <w:rPr>
                <w:sz w:val="14"/>
                <w:szCs w:val="14"/>
              </w:rPr>
              <w:t xml:space="preserve">2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2.533,8 KM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Suma dijela po učeniku osnovne škole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1.206 KM </w:t>
            </w:r>
          </w:p>
        </w:tc>
      </w:tr>
      <w:tr w:rsidR="00373D29" w:rsidTr="00CE711D">
        <w:trPr>
          <w:trHeight w:val="110"/>
        </w:trPr>
        <w:tc>
          <w:tcPr>
            <w:tcW w:w="5495" w:type="dxa"/>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Suma dijela po učeniku srednje škole </w:t>
            </w:r>
          </w:p>
        </w:tc>
        <w:tc>
          <w:tcPr>
            <w:tcW w:w="3548" w:type="dxa"/>
            <w:gridSpan w:val="2"/>
            <w:tcBorders>
              <w:top w:val="single" w:sz="4" w:space="0" w:color="auto"/>
              <w:left w:val="single" w:sz="4" w:space="0" w:color="auto"/>
              <w:bottom w:val="single" w:sz="4" w:space="0" w:color="auto"/>
              <w:right w:val="single" w:sz="4" w:space="0" w:color="auto"/>
            </w:tcBorders>
          </w:tcPr>
          <w:p w:rsidR="00373D29" w:rsidRDefault="00373D29">
            <w:pPr>
              <w:pStyle w:val="Default"/>
              <w:rPr>
                <w:sz w:val="23"/>
                <w:szCs w:val="23"/>
              </w:rPr>
            </w:pPr>
            <w:r>
              <w:rPr>
                <w:sz w:val="23"/>
                <w:szCs w:val="23"/>
              </w:rPr>
              <w:t xml:space="preserve">1.228 KM </w:t>
            </w:r>
          </w:p>
        </w:tc>
      </w:tr>
    </w:tbl>
    <w:p w:rsidR="00D80D6D" w:rsidRDefault="00D80D6D" w:rsidP="00CE711D">
      <w:pPr>
        <w:pStyle w:val="Default"/>
        <w:jc w:val="both"/>
        <w:rPr>
          <w:rFonts w:ascii="Arial" w:hAnsi="Arial" w:cs="Arial"/>
          <w:sz w:val="22"/>
          <w:szCs w:val="22"/>
        </w:rPr>
      </w:pPr>
    </w:p>
    <w:p w:rsidR="00945DBF" w:rsidRDefault="00945DBF" w:rsidP="00CE711D">
      <w:pPr>
        <w:pStyle w:val="Default"/>
        <w:jc w:val="both"/>
        <w:rPr>
          <w:rFonts w:ascii="Arial" w:hAnsi="Arial" w:cs="Arial"/>
          <w:sz w:val="22"/>
          <w:szCs w:val="22"/>
        </w:rPr>
      </w:pPr>
    </w:p>
    <w:p w:rsidR="0037171E" w:rsidRDefault="0037171E" w:rsidP="00977027">
      <w:pPr>
        <w:jc w:val="both"/>
        <w:rPr>
          <w:rFonts w:ascii="Arial" w:hAnsi="Arial" w:cs="Arial"/>
        </w:rPr>
      </w:pPr>
      <w:r>
        <w:rPr>
          <w:rFonts w:ascii="Arial" w:hAnsi="Arial" w:cs="Arial"/>
        </w:rPr>
        <w:t xml:space="preserve">Iz naprijed navedenog se vidi da se </w:t>
      </w:r>
      <w:r w:rsidRPr="00373D29">
        <w:rPr>
          <w:rFonts w:ascii="Arial" w:hAnsi="Arial" w:cs="Arial"/>
        </w:rPr>
        <w:t xml:space="preserve">od </w:t>
      </w:r>
      <w:r>
        <w:rPr>
          <w:rFonts w:ascii="Arial" w:hAnsi="Arial" w:cs="Arial"/>
        </w:rPr>
        <w:t xml:space="preserve">ukupnog iznosa od </w:t>
      </w:r>
      <w:r w:rsidRPr="00373D29">
        <w:rPr>
          <w:rFonts w:ascii="Arial" w:hAnsi="Arial" w:cs="Arial"/>
        </w:rPr>
        <w:t xml:space="preserve">1.201.269.009 KM </w:t>
      </w:r>
      <w:r>
        <w:rPr>
          <w:rFonts w:ascii="Arial" w:hAnsi="Arial" w:cs="Arial"/>
        </w:rPr>
        <w:t xml:space="preserve">čak </w:t>
      </w:r>
      <w:r w:rsidRPr="00373D29">
        <w:rPr>
          <w:rFonts w:ascii="Arial" w:hAnsi="Arial" w:cs="Arial"/>
        </w:rPr>
        <w:t xml:space="preserve">684.723.335 KM </w:t>
      </w:r>
      <w:r>
        <w:rPr>
          <w:rFonts w:ascii="Arial" w:hAnsi="Arial" w:cs="Arial"/>
        </w:rPr>
        <w:t xml:space="preserve">raspoređuje </w:t>
      </w:r>
      <w:r w:rsidRPr="00373D29">
        <w:rPr>
          <w:rFonts w:ascii="Arial" w:hAnsi="Arial" w:cs="Arial"/>
        </w:rPr>
        <w:t>po kriteriju stanovnika</w:t>
      </w:r>
      <w:r>
        <w:rPr>
          <w:rFonts w:ascii="Arial" w:hAnsi="Arial" w:cs="Arial"/>
        </w:rPr>
        <w:t xml:space="preserve"> što ukazuje da je tom kriteriju dat dominantan značaj </w:t>
      </w:r>
      <w:r w:rsidR="007451D9">
        <w:rPr>
          <w:rFonts w:ascii="Arial" w:hAnsi="Arial" w:cs="Arial"/>
        </w:rPr>
        <w:t>i</w:t>
      </w:r>
      <w:r>
        <w:rPr>
          <w:rFonts w:ascii="Arial" w:hAnsi="Arial" w:cs="Arial"/>
        </w:rPr>
        <w:t xml:space="preserve"> da je broj stanovnika kao kriterij najznačajniji</w:t>
      </w:r>
      <w:r w:rsidR="00FD0785">
        <w:rPr>
          <w:rFonts w:ascii="Arial" w:hAnsi="Arial" w:cs="Arial"/>
        </w:rPr>
        <w:t>,</w:t>
      </w:r>
      <w:r>
        <w:rPr>
          <w:rFonts w:ascii="Arial" w:hAnsi="Arial" w:cs="Arial"/>
        </w:rPr>
        <w:t xml:space="preserve"> što je pogrešno jer se </w:t>
      </w:r>
      <w:r w:rsidR="007451D9">
        <w:rPr>
          <w:rFonts w:ascii="Arial" w:hAnsi="Arial" w:cs="Arial"/>
        </w:rPr>
        <w:t>sredstva ne raspoređuju i doznačavaju stanovništvu već se raspoređuju po kantonima kako bi isti bili u mogućnosti da izvršavaju svoje ustavom dod</w:t>
      </w:r>
      <w:r w:rsidR="00FD0785">
        <w:rPr>
          <w:rFonts w:ascii="Arial" w:hAnsi="Arial" w:cs="Arial"/>
        </w:rPr>
        <w:t>i</w:t>
      </w:r>
      <w:r w:rsidR="007451D9">
        <w:rPr>
          <w:rFonts w:ascii="Arial" w:hAnsi="Arial" w:cs="Arial"/>
        </w:rPr>
        <w:t>jeljene nadležnosti</w:t>
      </w:r>
      <w:r w:rsidR="00FD0785">
        <w:rPr>
          <w:rFonts w:ascii="Arial" w:hAnsi="Arial" w:cs="Arial"/>
        </w:rPr>
        <w:t>,</w:t>
      </w:r>
      <w:r w:rsidR="007451D9">
        <w:rPr>
          <w:rFonts w:ascii="Arial" w:hAnsi="Arial" w:cs="Arial"/>
        </w:rPr>
        <w:t xml:space="preserve"> odnosno kako bi isti bili u mogućnosti da zadovolje potrebe stanovništva</w:t>
      </w:r>
      <w:r w:rsidR="00FD0785">
        <w:rPr>
          <w:rFonts w:ascii="Arial" w:hAnsi="Arial" w:cs="Arial"/>
        </w:rPr>
        <w:t>,</w:t>
      </w:r>
      <w:r w:rsidR="007451D9">
        <w:rPr>
          <w:rFonts w:ascii="Arial" w:hAnsi="Arial" w:cs="Arial"/>
        </w:rPr>
        <w:t xml:space="preserve"> odnosno da pruže stanovništvu odgovarajuće usluge.  </w:t>
      </w:r>
    </w:p>
    <w:p w:rsidR="0037171E" w:rsidRDefault="0037171E" w:rsidP="00CE711D">
      <w:pPr>
        <w:jc w:val="both"/>
        <w:rPr>
          <w:rFonts w:ascii="Arial" w:hAnsi="Arial" w:cs="Arial"/>
        </w:rPr>
      </w:pPr>
    </w:p>
    <w:p w:rsidR="00945DBF" w:rsidRDefault="00945DBF" w:rsidP="00CE711D">
      <w:pPr>
        <w:jc w:val="both"/>
        <w:rPr>
          <w:rFonts w:ascii="Arial" w:hAnsi="Arial" w:cs="Arial"/>
        </w:rPr>
      </w:pPr>
    </w:p>
    <w:p w:rsidR="006F7C1A" w:rsidRDefault="006F7C1A" w:rsidP="00CE711D">
      <w:pPr>
        <w:jc w:val="both"/>
        <w:rPr>
          <w:rFonts w:ascii="Arial" w:hAnsi="Arial" w:cs="Arial"/>
        </w:rPr>
        <w:sectPr w:rsidR="006F7C1A" w:rsidSect="00CE711D">
          <w:footerReference w:type="default" r:id="rId8"/>
          <w:pgSz w:w="12240" w:h="15840"/>
          <w:pgMar w:top="1440" w:right="1440" w:bottom="1440" w:left="1440" w:header="708" w:footer="708" w:gutter="0"/>
          <w:cols w:space="708"/>
          <w:docGrid w:linePitch="360"/>
        </w:sectPr>
      </w:pPr>
    </w:p>
    <w:p w:rsidR="006F7C1A" w:rsidRDefault="006F7C1A" w:rsidP="006F7C1A">
      <w:pPr>
        <w:rPr>
          <w:b/>
          <w:bCs/>
        </w:rPr>
      </w:pPr>
    </w:p>
    <w:p w:rsidR="006F7C1A" w:rsidRDefault="006F7C1A" w:rsidP="006F7C1A">
      <w:r>
        <w:rPr>
          <w:b/>
          <w:bCs/>
        </w:rPr>
        <w:t xml:space="preserve">Tabela 3. </w:t>
      </w:r>
      <w:r>
        <w:t>Obračun koeficijenata učešća kantona u javnim prihodima FBiH sa JR (nakon otplate vanjskog duga) po postojećim kriterijima i ponderima, sa projiciranim iznosima za 2015. godinu</w:t>
      </w:r>
    </w:p>
    <w:tbl>
      <w:tblPr>
        <w:tblStyle w:val="TableGrid"/>
        <w:tblW w:w="14884" w:type="dxa"/>
        <w:tblInd w:w="-34" w:type="dxa"/>
        <w:tblLayout w:type="fixed"/>
        <w:tblLook w:val="04A0"/>
      </w:tblPr>
      <w:tblGrid>
        <w:gridCol w:w="1135"/>
        <w:gridCol w:w="850"/>
        <w:gridCol w:w="851"/>
        <w:gridCol w:w="1134"/>
        <w:gridCol w:w="850"/>
        <w:gridCol w:w="851"/>
        <w:gridCol w:w="1134"/>
        <w:gridCol w:w="850"/>
        <w:gridCol w:w="992"/>
        <w:gridCol w:w="1134"/>
        <w:gridCol w:w="851"/>
        <w:gridCol w:w="850"/>
        <w:gridCol w:w="1134"/>
        <w:gridCol w:w="1276"/>
        <w:gridCol w:w="992"/>
      </w:tblGrid>
      <w:tr w:rsidR="006F7C1A" w:rsidTr="006F7C1A">
        <w:trPr>
          <w:trHeight w:val="463"/>
        </w:trPr>
        <w:tc>
          <w:tcPr>
            <w:tcW w:w="1135" w:type="dxa"/>
          </w:tcPr>
          <w:p w:rsidR="006F7C1A" w:rsidRDefault="006F7C1A" w:rsidP="006F7C1A">
            <w:pPr>
              <w:pStyle w:val="Default"/>
              <w:rPr>
                <w:sz w:val="17"/>
                <w:szCs w:val="17"/>
              </w:rPr>
            </w:pPr>
            <w:r>
              <w:rPr>
                <w:sz w:val="17"/>
                <w:szCs w:val="17"/>
              </w:rPr>
              <w:t xml:space="preserve">Kanton </w:t>
            </w:r>
          </w:p>
        </w:tc>
        <w:tc>
          <w:tcPr>
            <w:tcW w:w="850" w:type="dxa"/>
          </w:tcPr>
          <w:p w:rsidR="006F7C1A" w:rsidRDefault="006F7C1A" w:rsidP="006F7C1A">
            <w:pPr>
              <w:pStyle w:val="Default"/>
              <w:rPr>
                <w:sz w:val="17"/>
                <w:szCs w:val="17"/>
              </w:rPr>
            </w:pPr>
            <w:r>
              <w:rPr>
                <w:sz w:val="17"/>
                <w:szCs w:val="17"/>
              </w:rPr>
              <w:t xml:space="preserve">Broj stano-vnika </w:t>
            </w:r>
          </w:p>
        </w:tc>
        <w:tc>
          <w:tcPr>
            <w:tcW w:w="851" w:type="dxa"/>
          </w:tcPr>
          <w:p w:rsidR="006F7C1A" w:rsidRDefault="006F7C1A" w:rsidP="006F7C1A">
            <w:pPr>
              <w:pStyle w:val="Default"/>
              <w:rPr>
                <w:sz w:val="17"/>
                <w:szCs w:val="17"/>
              </w:rPr>
            </w:pPr>
            <w:r>
              <w:rPr>
                <w:sz w:val="17"/>
                <w:szCs w:val="17"/>
              </w:rPr>
              <w:t xml:space="preserve">Broj stano-vnika sa ponderima </w:t>
            </w:r>
          </w:p>
        </w:tc>
        <w:tc>
          <w:tcPr>
            <w:tcW w:w="1134" w:type="dxa"/>
          </w:tcPr>
          <w:p w:rsidR="006F7C1A" w:rsidRDefault="006F7C1A" w:rsidP="006F7C1A">
            <w:pPr>
              <w:pStyle w:val="Default"/>
              <w:rPr>
                <w:sz w:val="17"/>
                <w:szCs w:val="17"/>
              </w:rPr>
            </w:pPr>
            <w:r>
              <w:rPr>
                <w:sz w:val="17"/>
                <w:szCs w:val="17"/>
              </w:rPr>
              <w:t xml:space="preserve">Ukupno KM po kriteriju stanovnika (ponderisano) </w:t>
            </w:r>
          </w:p>
        </w:tc>
        <w:tc>
          <w:tcPr>
            <w:tcW w:w="850" w:type="dxa"/>
          </w:tcPr>
          <w:p w:rsidR="006F7C1A" w:rsidRDefault="006F7C1A" w:rsidP="006F7C1A">
            <w:pPr>
              <w:pStyle w:val="Default"/>
              <w:rPr>
                <w:sz w:val="17"/>
                <w:szCs w:val="17"/>
              </w:rPr>
            </w:pPr>
            <w:r>
              <w:rPr>
                <w:sz w:val="17"/>
                <w:szCs w:val="17"/>
              </w:rPr>
              <w:t xml:space="preserve">Površi-na u km2 </w:t>
            </w:r>
          </w:p>
        </w:tc>
        <w:tc>
          <w:tcPr>
            <w:tcW w:w="851" w:type="dxa"/>
          </w:tcPr>
          <w:p w:rsidR="006F7C1A" w:rsidRDefault="006F7C1A" w:rsidP="006F7C1A">
            <w:pPr>
              <w:pStyle w:val="Default"/>
              <w:rPr>
                <w:sz w:val="11"/>
                <w:szCs w:val="11"/>
              </w:rPr>
            </w:pPr>
            <w:r>
              <w:rPr>
                <w:sz w:val="17"/>
                <w:szCs w:val="17"/>
              </w:rPr>
              <w:t>Površina sa ponde-rima u km</w:t>
            </w:r>
            <w:r>
              <w:rPr>
                <w:sz w:val="11"/>
                <w:szCs w:val="11"/>
              </w:rPr>
              <w:t xml:space="preserve">2 </w:t>
            </w:r>
          </w:p>
        </w:tc>
        <w:tc>
          <w:tcPr>
            <w:tcW w:w="1134" w:type="dxa"/>
          </w:tcPr>
          <w:p w:rsidR="006F7C1A" w:rsidRDefault="006F7C1A" w:rsidP="006F7C1A">
            <w:pPr>
              <w:pStyle w:val="Default"/>
              <w:rPr>
                <w:sz w:val="17"/>
                <w:szCs w:val="17"/>
              </w:rPr>
            </w:pPr>
            <w:r>
              <w:rPr>
                <w:sz w:val="17"/>
                <w:szCs w:val="17"/>
              </w:rPr>
              <w:t xml:space="preserve">Ukupno KM po kriteriju površine (ponderisano) </w:t>
            </w:r>
          </w:p>
        </w:tc>
        <w:tc>
          <w:tcPr>
            <w:tcW w:w="850" w:type="dxa"/>
          </w:tcPr>
          <w:p w:rsidR="006F7C1A" w:rsidRDefault="006F7C1A" w:rsidP="006F7C1A">
            <w:pPr>
              <w:pStyle w:val="Default"/>
              <w:rPr>
                <w:sz w:val="17"/>
                <w:szCs w:val="17"/>
              </w:rPr>
            </w:pPr>
            <w:r>
              <w:rPr>
                <w:sz w:val="17"/>
                <w:szCs w:val="17"/>
              </w:rPr>
              <w:t xml:space="preserve">Broj učenika OŠ </w:t>
            </w:r>
          </w:p>
        </w:tc>
        <w:tc>
          <w:tcPr>
            <w:tcW w:w="992" w:type="dxa"/>
          </w:tcPr>
          <w:p w:rsidR="006F7C1A" w:rsidRDefault="006F7C1A" w:rsidP="006F7C1A">
            <w:pPr>
              <w:pStyle w:val="Default"/>
              <w:rPr>
                <w:sz w:val="17"/>
                <w:szCs w:val="17"/>
              </w:rPr>
            </w:pPr>
            <w:r>
              <w:rPr>
                <w:sz w:val="17"/>
                <w:szCs w:val="17"/>
              </w:rPr>
              <w:t xml:space="preserve">Broj učenika OŠ (ponde-risano) </w:t>
            </w:r>
          </w:p>
        </w:tc>
        <w:tc>
          <w:tcPr>
            <w:tcW w:w="1134" w:type="dxa"/>
          </w:tcPr>
          <w:p w:rsidR="006F7C1A" w:rsidRDefault="006F7C1A" w:rsidP="006F7C1A">
            <w:pPr>
              <w:pStyle w:val="Default"/>
              <w:rPr>
                <w:sz w:val="17"/>
                <w:szCs w:val="17"/>
              </w:rPr>
            </w:pPr>
            <w:r>
              <w:rPr>
                <w:sz w:val="17"/>
                <w:szCs w:val="17"/>
              </w:rPr>
              <w:t xml:space="preserve">Ukupno KM po kriteriju broja učenika OŠ (ponderisano) </w:t>
            </w:r>
          </w:p>
        </w:tc>
        <w:tc>
          <w:tcPr>
            <w:tcW w:w="851" w:type="dxa"/>
          </w:tcPr>
          <w:p w:rsidR="006F7C1A" w:rsidRDefault="006F7C1A" w:rsidP="006F7C1A">
            <w:pPr>
              <w:pStyle w:val="Default"/>
              <w:rPr>
                <w:sz w:val="17"/>
                <w:szCs w:val="17"/>
              </w:rPr>
            </w:pPr>
            <w:r>
              <w:rPr>
                <w:sz w:val="17"/>
                <w:szCs w:val="17"/>
              </w:rPr>
              <w:t xml:space="preserve">Broj učenika SS </w:t>
            </w:r>
          </w:p>
        </w:tc>
        <w:tc>
          <w:tcPr>
            <w:tcW w:w="850" w:type="dxa"/>
          </w:tcPr>
          <w:p w:rsidR="006F7C1A" w:rsidRDefault="006F7C1A" w:rsidP="006F7C1A">
            <w:pPr>
              <w:pStyle w:val="Default"/>
              <w:rPr>
                <w:sz w:val="17"/>
                <w:szCs w:val="17"/>
              </w:rPr>
            </w:pPr>
            <w:r>
              <w:rPr>
                <w:sz w:val="17"/>
                <w:szCs w:val="17"/>
              </w:rPr>
              <w:t xml:space="preserve">Broj učenika u SŠ (ponde-risano) </w:t>
            </w:r>
          </w:p>
        </w:tc>
        <w:tc>
          <w:tcPr>
            <w:tcW w:w="1134" w:type="dxa"/>
          </w:tcPr>
          <w:p w:rsidR="006F7C1A" w:rsidRDefault="006F7C1A" w:rsidP="006F7C1A">
            <w:pPr>
              <w:pStyle w:val="Default"/>
              <w:rPr>
                <w:sz w:val="17"/>
                <w:szCs w:val="17"/>
              </w:rPr>
            </w:pPr>
            <w:r>
              <w:rPr>
                <w:sz w:val="17"/>
                <w:szCs w:val="17"/>
              </w:rPr>
              <w:t xml:space="preserve">Ukupno KM po kriteriju broja učenika SS (ponde-risano) </w:t>
            </w:r>
          </w:p>
        </w:tc>
        <w:tc>
          <w:tcPr>
            <w:tcW w:w="1276" w:type="dxa"/>
          </w:tcPr>
          <w:p w:rsidR="006F7C1A" w:rsidRDefault="006F7C1A" w:rsidP="006F7C1A">
            <w:pPr>
              <w:pStyle w:val="Default"/>
              <w:rPr>
                <w:sz w:val="17"/>
                <w:szCs w:val="17"/>
              </w:rPr>
            </w:pPr>
            <w:r>
              <w:rPr>
                <w:sz w:val="17"/>
                <w:szCs w:val="17"/>
              </w:rPr>
              <w:t xml:space="preserve">Ukupno prihodi po modelu (ukupni prihodi) </w:t>
            </w:r>
          </w:p>
        </w:tc>
        <w:tc>
          <w:tcPr>
            <w:tcW w:w="992" w:type="dxa"/>
          </w:tcPr>
          <w:p w:rsidR="006F7C1A" w:rsidRDefault="006F7C1A" w:rsidP="006F7C1A">
            <w:pPr>
              <w:pStyle w:val="Default"/>
              <w:rPr>
                <w:sz w:val="17"/>
                <w:szCs w:val="17"/>
              </w:rPr>
            </w:pPr>
            <w:r>
              <w:rPr>
                <w:sz w:val="17"/>
                <w:szCs w:val="17"/>
              </w:rPr>
              <w:t xml:space="preserve">Koeficijenti </w:t>
            </w:r>
          </w:p>
        </w:tc>
      </w:tr>
      <w:tr w:rsidR="006F7C1A" w:rsidTr="006F7C1A">
        <w:trPr>
          <w:trHeight w:val="517"/>
        </w:trPr>
        <w:tc>
          <w:tcPr>
            <w:tcW w:w="1135" w:type="dxa"/>
          </w:tcPr>
          <w:p w:rsidR="006F7C1A" w:rsidRDefault="006F7C1A" w:rsidP="006F7C1A">
            <w:pPr>
              <w:pStyle w:val="Default"/>
              <w:rPr>
                <w:sz w:val="17"/>
                <w:szCs w:val="17"/>
              </w:rPr>
            </w:pPr>
            <w:r>
              <w:rPr>
                <w:b/>
                <w:bCs/>
                <w:sz w:val="17"/>
                <w:szCs w:val="17"/>
              </w:rPr>
              <w:t xml:space="preserve">1 </w:t>
            </w:r>
          </w:p>
        </w:tc>
        <w:tc>
          <w:tcPr>
            <w:tcW w:w="850" w:type="dxa"/>
          </w:tcPr>
          <w:p w:rsidR="006F7C1A" w:rsidRDefault="006F7C1A" w:rsidP="006F7C1A">
            <w:pPr>
              <w:pStyle w:val="Default"/>
              <w:rPr>
                <w:sz w:val="17"/>
                <w:szCs w:val="17"/>
              </w:rPr>
            </w:pPr>
            <w:r>
              <w:rPr>
                <w:b/>
                <w:bCs/>
                <w:sz w:val="17"/>
                <w:szCs w:val="17"/>
              </w:rPr>
              <w:t xml:space="preserve">2 </w:t>
            </w:r>
          </w:p>
        </w:tc>
        <w:tc>
          <w:tcPr>
            <w:tcW w:w="851" w:type="dxa"/>
          </w:tcPr>
          <w:p w:rsidR="006F7C1A" w:rsidRDefault="006F7C1A" w:rsidP="006F7C1A">
            <w:pPr>
              <w:pStyle w:val="Default"/>
              <w:rPr>
                <w:sz w:val="17"/>
                <w:szCs w:val="17"/>
              </w:rPr>
            </w:pPr>
            <w:r>
              <w:rPr>
                <w:b/>
                <w:bCs/>
                <w:sz w:val="17"/>
                <w:szCs w:val="17"/>
              </w:rPr>
              <w:t xml:space="preserve">3 = 2 * ponder </w:t>
            </w:r>
          </w:p>
        </w:tc>
        <w:tc>
          <w:tcPr>
            <w:tcW w:w="1134" w:type="dxa"/>
          </w:tcPr>
          <w:p w:rsidR="006F7C1A" w:rsidRDefault="006F7C1A" w:rsidP="006F7C1A">
            <w:pPr>
              <w:pStyle w:val="Default"/>
              <w:rPr>
                <w:sz w:val="17"/>
                <w:szCs w:val="17"/>
              </w:rPr>
            </w:pPr>
            <w:r>
              <w:rPr>
                <w:b/>
                <w:bCs/>
                <w:sz w:val="17"/>
                <w:szCs w:val="17"/>
              </w:rPr>
              <w:t xml:space="preserve">4 = 3 * </w:t>
            </w:r>
            <w:r>
              <w:rPr>
                <w:sz w:val="17"/>
                <w:szCs w:val="17"/>
              </w:rPr>
              <w:t xml:space="preserve">241,7 </w:t>
            </w:r>
          </w:p>
        </w:tc>
        <w:tc>
          <w:tcPr>
            <w:tcW w:w="850" w:type="dxa"/>
          </w:tcPr>
          <w:p w:rsidR="006F7C1A" w:rsidRDefault="006F7C1A" w:rsidP="006F7C1A">
            <w:pPr>
              <w:pStyle w:val="Default"/>
              <w:rPr>
                <w:sz w:val="17"/>
                <w:szCs w:val="17"/>
              </w:rPr>
            </w:pPr>
            <w:r>
              <w:rPr>
                <w:b/>
                <w:bCs/>
                <w:sz w:val="17"/>
                <w:szCs w:val="17"/>
              </w:rPr>
              <w:t xml:space="preserve">5 </w:t>
            </w:r>
          </w:p>
        </w:tc>
        <w:tc>
          <w:tcPr>
            <w:tcW w:w="851" w:type="dxa"/>
          </w:tcPr>
          <w:p w:rsidR="006F7C1A" w:rsidRDefault="006F7C1A" w:rsidP="006F7C1A">
            <w:pPr>
              <w:pStyle w:val="Default"/>
              <w:rPr>
                <w:sz w:val="17"/>
                <w:szCs w:val="17"/>
              </w:rPr>
            </w:pPr>
            <w:r>
              <w:rPr>
                <w:b/>
                <w:bCs/>
                <w:sz w:val="17"/>
                <w:szCs w:val="17"/>
              </w:rPr>
              <w:t xml:space="preserve">6 = 5 * ponder </w:t>
            </w:r>
          </w:p>
        </w:tc>
        <w:tc>
          <w:tcPr>
            <w:tcW w:w="1134" w:type="dxa"/>
          </w:tcPr>
          <w:p w:rsidR="006F7C1A" w:rsidRDefault="006F7C1A" w:rsidP="006F7C1A">
            <w:pPr>
              <w:pStyle w:val="Default"/>
              <w:rPr>
                <w:sz w:val="17"/>
                <w:szCs w:val="17"/>
              </w:rPr>
            </w:pPr>
            <w:r>
              <w:rPr>
                <w:b/>
                <w:bCs/>
                <w:sz w:val="17"/>
                <w:szCs w:val="17"/>
              </w:rPr>
              <w:t xml:space="preserve">7 = 6 * </w:t>
            </w:r>
            <w:r>
              <w:rPr>
                <w:sz w:val="17"/>
                <w:szCs w:val="17"/>
              </w:rPr>
              <w:t xml:space="preserve">2.533,8 </w:t>
            </w:r>
          </w:p>
        </w:tc>
        <w:tc>
          <w:tcPr>
            <w:tcW w:w="850" w:type="dxa"/>
          </w:tcPr>
          <w:p w:rsidR="006F7C1A" w:rsidRDefault="006F7C1A" w:rsidP="006F7C1A">
            <w:pPr>
              <w:pStyle w:val="Default"/>
              <w:rPr>
                <w:sz w:val="17"/>
                <w:szCs w:val="17"/>
              </w:rPr>
            </w:pPr>
            <w:r>
              <w:rPr>
                <w:b/>
                <w:bCs/>
                <w:sz w:val="17"/>
                <w:szCs w:val="17"/>
              </w:rPr>
              <w:t xml:space="preserve">8 </w:t>
            </w:r>
          </w:p>
        </w:tc>
        <w:tc>
          <w:tcPr>
            <w:tcW w:w="992" w:type="dxa"/>
          </w:tcPr>
          <w:p w:rsidR="006F7C1A" w:rsidRDefault="006F7C1A" w:rsidP="006F7C1A">
            <w:pPr>
              <w:pStyle w:val="Default"/>
              <w:rPr>
                <w:sz w:val="17"/>
                <w:szCs w:val="17"/>
              </w:rPr>
            </w:pPr>
            <w:r>
              <w:rPr>
                <w:b/>
                <w:bCs/>
                <w:sz w:val="17"/>
                <w:szCs w:val="17"/>
              </w:rPr>
              <w:t xml:space="preserve">9 = 8 * ponder </w:t>
            </w:r>
          </w:p>
        </w:tc>
        <w:tc>
          <w:tcPr>
            <w:tcW w:w="1134" w:type="dxa"/>
          </w:tcPr>
          <w:p w:rsidR="006F7C1A" w:rsidRDefault="006F7C1A" w:rsidP="006F7C1A">
            <w:pPr>
              <w:pStyle w:val="Default"/>
              <w:rPr>
                <w:sz w:val="17"/>
                <w:szCs w:val="17"/>
              </w:rPr>
            </w:pPr>
            <w:r>
              <w:rPr>
                <w:b/>
                <w:bCs/>
                <w:sz w:val="17"/>
                <w:szCs w:val="17"/>
              </w:rPr>
              <w:t xml:space="preserve">10 = 9 * </w:t>
            </w:r>
            <w:r>
              <w:rPr>
                <w:sz w:val="17"/>
                <w:szCs w:val="17"/>
              </w:rPr>
              <w:t xml:space="preserve">1.206 </w:t>
            </w:r>
          </w:p>
        </w:tc>
        <w:tc>
          <w:tcPr>
            <w:tcW w:w="851" w:type="dxa"/>
          </w:tcPr>
          <w:p w:rsidR="006F7C1A" w:rsidRDefault="006F7C1A" w:rsidP="006F7C1A">
            <w:pPr>
              <w:pStyle w:val="Default"/>
              <w:rPr>
                <w:sz w:val="17"/>
                <w:szCs w:val="17"/>
              </w:rPr>
            </w:pPr>
            <w:r>
              <w:rPr>
                <w:b/>
                <w:bCs/>
                <w:sz w:val="17"/>
                <w:szCs w:val="17"/>
              </w:rPr>
              <w:t xml:space="preserve">11 </w:t>
            </w:r>
          </w:p>
        </w:tc>
        <w:tc>
          <w:tcPr>
            <w:tcW w:w="850" w:type="dxa"/>
          </w:tcPr>
          <w:p w:rsidR="006F7C1A" w:rsidRDefault="006F7C1A" w:rsidP="006F7C1A">
            <w:pPr>
              <w:pStyle w:val="Default"/>
              <w:rPr>
                <w:sz w:val="17"/>
                <w:szCs w:val="17"/>
              </w:rPr>
            </w:pPr>
            <w:r>
              <w:rPr>
                <w:b/>
                <w:bCs/>
                <w:sz w:val="17"/>
                <w:szCs w:val="17"/>
              </w:rPr>
              <w:t xml:space="preserve">12 = 11 * ponder </w:t>
            </w:r>
          </w:p>
        </w:tc>
        <w:tc>
          <w:tcPr>
            <w:tcW w:w="1134" w:type="dxa"/>
          </w:tcPr>
          <w:p w:rsidR="006F7C1A" w:rsidRDefault="006F7C1A" w:rsidP="006F7C1A">
            <w:pPr>
              <w:pStyle w:val="Default"/>
              <w:rPr>
                <w:sz w:val="17"/>
                <w:szCs w:val="17"/>
              </w:rPr>
            </w:pPr>
            <w:r>
              <w:rPr>
                <w:b/>
                <w:bCs/>
                <w:sz w:val="17"/>
                <w:szCs w:val="17"/>
              </w:rPr>
              <w:t xml:space="preserve">13 = 12 * </w:t>
            </w:r>
            <w:r>
              <w:rPr>
                <w:sz w:val="17"/>
                <w:szCs w:val="17"/>
              </w:rPr>
              <w:t xml:space="preserve">1.228 </w:t>
            </w:r>
          </w:p>
        </w:tc>
        <w:tc>
          <w:tcPr>
            <w:tcW w:w="1276" w:type="dxa"/>
          </w:tcPr>
          <w:p w:rsidR="006F7C1A" w:rsidRDefault="006F7C1A" w:rsidP="006F7C1A">
            <w:pPr>
              <w:pStyle w:val="Default"/>
              <w:rPr>
                <w:sz w:val="17"/>
                <w:szCs w:val="17"/>
              </w:rPr>
            </w:pPr>
            <w:r>
              <w:rPr>
                <w:b/>
                <w:bCs/>
                <w:sz w:val="17"/>
                <w:szCs w:val="17"/>
              </w:rPr>
              <w:t xml:space="preserve">14 </w:t>
            </w:r>
          </w:p>
          <w:p w:rsidR="006F7C1A" w:rsidRDefault="006F7C1A" w:rsidP="006F7C1A">
            <w:pPr>
              <w:pStyle w:val="Default"/>
              <w:rPr>
                <w:sz w:val="17"/>
                <w:szCs w:val="17"/>
              </w:rPr>
            </w:pPr>
            <w:r>
              <w:rPr>
                <w:b/>
                <w:bCs/>
                <w:sz w:val="17"/>
                <w:szCs w:val="17"/>
              </w:rPr>
              <w:t xml:space="preserve">(4+7+10+13) </w:t>
            </w:r>
          </w:p>
        </w:tc>
        <w:tc>
          <w:tcPr>
            <w:tcW w:w="992" w:type="dxa"/>
          </w:tcPr>
          <w:p w:rsidR="006F7C1A" w:rsidRDefault="006F7C1A" w:rsidP="006F7C1A">
            <w:pPr>
              <w:pStyle w:val="Default"/>
              <w:rPr>
                <w:sz w:val="17"/>
                <w:szCs w:val="17"/>
              </w:rPr>
            </w:pPr>
            <w:r>
              <w:rPr>
                <w:b/>
                <w:bCs/>
                <w:sz w:val="17"/>
                <w:szCs w:val="17"/>
              </w:rPr>
              <w:t xml:space="preserve">15 </w:t>
            </w:r>
          </w:p>
        </w:tc>
      </w:tr>
      <w:tr w:rsidR="006F7C1A" w:rsidTr="006F7C1A">
        <w:trPr>
          <w:trHeight w:val="172"/>
        </w:trPr>
        <w:tc>
          <w:tcPr>
            <w:tcW w:w="1135" w:type="dxa"/>
          </w:tcPr>
          <w:p w:rsidR="006F7C1A" w:rsidRDefault="006F7C1A" w:rsidP="006F7C1A">
            <w:pPr>
              <w:pStyle w:val="Default"/>
              <w:rPr>
                <w:sz w:val="17"/>
                <w:szCs w:val="17"/>
              </w:rPr>
            </w:pPr>
            <w:r>
              <w:rPr>
                <w:sz w:val="17"/>
                <w:szCs w:val="17"/>
              </w:rPr>
              <w:t xml:space="preserve">Unsko-sanski </w:t>
            </w:r>
          </w:p>
        </w:tc>
        <w:tc>
          <w:tcPr>
            <w:tcW w:w="850" w:type="dxa"/>
          </w:tcPr>
          <w:p w:rsidR="006F7C1A" w:rsidRDefault="006F7C1A" w:rsidP="006F7C1A">
            <w:pPr>
              <w:pStyle w:val="Default"/>
              <w:rPr>
                <w:sz w:val="17"/>
                <w:szCs w:val="17"/>
              </w:rPr>
            </w:pPr>
            <w:r>
              <w:rPr>
                <w:sz w:val="17"/>
                <w:szCs w:val="17"/>
              </w:rPr>
              <w:t xml:space="preserve">287.621 </w:t>
            </w:r>
          </w:p>
        </w:tc>
        <w:tc>
          <w:tcPr>
            <w:tcW w:w="851" w:type="dxa"/>
          </w:tcPr>
          <w:p w:rsidR="006F7C1A" w:rsidRDefault="006F7C1A" w:rsidP="006F7C1A">
            <w:pPr>
              <w:pStyle w:val="Default"/>
              <w:rPr>
                <w:sz w:val="17"/>
                <w:szCs w:val="17"/>
              </w:rPr>
            </w:pPr>
            <w:r>
              <w:rPr>
                <w:sz w:val="17"/>
                <w:szCs w:val="17"/>
              </w:rPr>
              <w:t xml:space="preserve">287.621 </w:t>
            </w:r>
          </w:p>
        </w:tc>
        <w:tc>
          <w:tcPr>
            <w:tcW w:w="1134" w:type="dxa"/>
          </w:tcPr>
          <w:p w:rsidR="006F7C1A" w:rsidRDefault="006F7C1A" w:rsidP="006F7C1A">
            <w:pPr>
              <w:pStyle w:val="Default"/>
              <w:rPr>
                <w:sz w:val="17"/>
                <w:szCs w:val="17"/>
              </w:rPr>
            </w:pPr>
            <w:r>
              <w:rPr>
                <w:sz w:val="17"/>
                <w:szCs w:val="17"/>
              </w:rPr>
              <w:t xml:space="preserve">69.512.374 </w:t>
            </w:r>
          </w:p>
        </w:tc>
        <w:tc>
          <w:tcPr>
            <w:tcW w:w="850" w:type="dxa"/>
          </w:tcPr>
          <w:p w:rsidR="006F7C1A" w:rsidRDefault="006F7C1A" w:rsidP="006F7C1A">
            <w:pPr>
              <w:pStyle w:val="Default"/>
              <w:rPr>
                <w:sz w:val="17"/>
                <w:szCs w:val="17"/>
              </w:rPr>
            </w:pPr>
            <w:r>
              <w:rPr>
                <w:sz w:val="17"/>
                <w:szCs w:val="17"/>
              </w:rPr>
              <w:t xml:space="preserve">4.125,0 </w:t>
            </w:r>
          </w:p>
        </w:tc>
        <w:tc>
          <w:tcPr>
            <w:tcW w:w="851" w:type="dxa"/>
          </w:tcPr>
          <w:p w:rsidR="006F7C1A" w:rsidRDefault="006F7C1A" w:rsidP="006F7C1A">
            <w:pPr>
              <w:pStyle w:val="Default"/>
              <w:rPr>
                <w:sz w:val="17"/>
                <w:szCs w:val="17"/>
              </w:rPr>
            </w:pPr>
            <w:r>
              <w:rPr>
                <w:sz w:val="17"/>
                <w:szCs w:val="17"/>
              </w:rPr>
              <w:t xml:space="preserve">4.125 </w:t>
            </w:r>
          </w:p>
        </w:tc>
        <w:tc>
          <w:tcPr>
            <w:tcW w:w="1134" w:type="dxa"/>
          </w:tcPr>
          <w:p w:rsidR="006F7C1A" w:rsidRDefault="006F7C1A" w:rsidP="006F7C1A">
            <w:pPr>
              <w:pStyle w:val="Default"/>
              <w:rPr>
                <w:sz w:val="17"/>
                <w:szCs w:val="17"/>
              </w:rPr>
            </w:pPr>
            <w:r>
              <w:rPr>
                <w:sz w:val="17"/>
                <w:szCs w:val="17"/>
              </w:rPr>
              <w:t xml:space="preserve">10.451.880 </w:t>
            </w:r>
          </w:p>
        </w:tc>
        <w:tc>
          <w:tcPr>
            <w:tcW w:w="850" w:type="dxa"/>
          </w:tcPr>
          <w:p w:rsidR="006F7C1A" w:rsidRDefault="006F7C1A" w:rsidP="006F7C1A">
            <w:pPr>
              <w:pStyle w:val="Default"/>
              <w:rPr>
                <w:sz w:val="17"/>
                <w:szCs w:val="17"/>
              </w:rPr>
            </w:pPr>
            <w:r>
              <w:rPr>
                <w:sz w:val="17"/>
                <w:szCs w:val="17"/>
              </w:rPr>
              <w:t xml:space="preserve">25.758 </w:t>
            </w:r>
          </w:p>
        </w:tc>
        <w:tc>
          <w:tcPr>
            <w:tcW w:w="992" w:type="dxa"/>
          </w:tcPr>
          <w:p w:rsidR="006F7C1A" w:rsidRDefault="006F7C1A" w:rsidP="006F7C1A">
            <w:pPr>
              <w:pStyle w:val="Default"/>
              <w:rPr>
                <w:sz w:val="17"/>
                <w:szCs w:val="17"/>
              </w:rPr>
            </w:pPr>
            <w:r>
              <w:rPr>
                <w:sz w:val="17"/>
                <w:szCs w:val="17"/>
              </w:rPr>
              <w:t xml:space="preserve">25.758 </w:t>
            </w:r>
          </w:p>
        </w:tc>
        <w:tc>
          <w:tcPr>
            <w:tcW w:w="1134" w:type="dxa"/>
          </w:tcPr>
          <w:p w:rsidR="006F7C1A" w:rsidRDefault="006F7C1A" w:rsidP="006F7C1A">
            <w:pPr>
              <w:pStyle w:val="Default"/>
              <w:rPr>
                <w:sz w:val="17"/>
                <w:szCs w:val="17"/>
              </w:rPr>
            </w:pPr>
            <w:r>
              <w:rPr>
                <w:sz w:val="17"/>
                <w:szCs w:val="17"/>
              </w:rPr>
              <w:t xml:space="preserve">31.064.786 </w:t>
            </w:r>
          </w:p>
        </w:tc>
        <w:tc>
          <w:tcPr>
            <w:tcW w:w="851" w:type="dxa"/>
          </w:tcPr>
          <w:p w:rsidR="006F7C1A" w:rsidRDefault="006F7C1A" w:rsidP="006F7C1A">
            <w:pPr>
              <w:pStyle w:val="Default"/>
              <w:rPr>
                <w:sz w:val="17"/>
                <w:szCs w:val="17"/>
              </w:rPr>
            </w:pPr>
            <w:r>
              <w:rPr>
                <w:sz w:val="17"/>
                <w:szCs w:val="17"/>
              </w:rPr>
              <w:t xml:space="preserve">11.904 </w:t>
            </w:r>
          </w:p>
        </w:tc>
        <w:tc>
          <w:tcPr>
            <w:tcW w:w="850" w:type="dxa"/>
          </w:tcPr>
          <w:p w:rsidR="006F7C1A" w:rsidRDefault="006F7C1A" w:rsidP="006F7C1A">
            <w:pPr>
              <w:pStyle w:val="Default"/>
              <w:rPr>
                <w:sz w:val="17"/>
                <w:szCs w:val="17"/>
              </w:rPr>
            </w:pPr>
            <w:r>
              <w:rPr>
                <w:sz w:val="17"/>
                <w:szCs w:val="17"/>
              </w:rPr>
              <w:t xml:space="preserve">11.904 </w:t>
            </w:r>
          </w:p>
        </w:tc>
        <w:tc>
          <w:tcPr>
            <w:tcW w:w="1134" w:type="dxa"/>
          </w:tcPr>
          <w:p w:rsidR="006F7C1A" w:rsidRDefault="006F7C1A" w:rsidP="006F7C1A">
            <w:pPr>
              <w:pStyle w:val="Default"/>
              <w:rPr>
                <w:sz w:val="17"/>
                <w:szCs w:val="17"/>
              </w:rPr>
            </w:pPr>
            <w:r>
              <w:rPr>
                <w:sz w:val="17"/>
                <w:szCs w:val="17"/>
              </w:rPr>
              <w:t xml:space="preserve">14.622.386 </w:t>
            </w:r>
          </w:p>
        </w:tc>
        <w:tc>
          <w:tcPr>
            <w:tcW w:w="1276" w:type="dxa"/>
          </w:tcPr>
          <w:p w:rsidR="006F7C1A" w:rsidRDefault="006F7C1A" w:rsidP="006F7C1A">
            <w:pPr>
              <w:pStyle w:val="Default"/>
              <w:rPr>
                <w:sz w:val="17"/>
                <w:szCs w:val="17"/>
              </w:rPr>
            </w:pPr>
            <w:r>
              <w:rPr>
                <w:b/>
                <w:bCs/>
                <w:sz w:val="17"/>
                <w:szCs w:val="17"/>
              </w:rPr>
              <w:t xml:space="preserve">125.651.426 </w:t>
            </w:r>
          </w:p>
        </w:tc>
        <w:tc>
          <w:tcPr>
            <w:tcW w:w="992" w:type="dxa"/>
          </w:tcPr>
          <w:p w:rsidR="006F7C1A" w:rsidRDefault="006F7C1A" w:rsidP="006F7C1A">
            <w:pPr>
              <w:pStyle w:val="Default"/>
              <w:rPr>
                <w:sz w:val="17"/>
                <w:szCs w:val="17"/>
              </w:rPr>
            </w:pPr>
            <w:r>
              <w:rPr>
                <w:b/>
                <w:bCs/>
                <w:sz w:val="17"/>
                <w:szCs w:val="17"/>
              </w:rPr>
              <w:t xml:space="preserve">10,460% </w:t>
            </w:r>
          </w:p>
        </w:tc>
      </w:tr>
      <w:tr w:rsidR="006F7C1A" w:rsidTr="006F7C1A">
        <w:trPr>
          <w:trHeight w:val="78"/>
        </w:trPr>
        <w:tc>
          <w:tcPr>
            <w:tcW w:w="1135" w:type="dxa"/>
          </w:tcPr>
          <w:p w:rsidR="006F7C1A" w:rsidRDefault="006F7C1A" w:rsidP="006F7C1A">
            <w:pPr>
              <w:pStyle w:val="Default"/>
              <w:rPr>
                <w:sz w:val="17"/>
                <w:szCs w:val="17"/>
              </w:rPr>
            </w:pPr>
            <w:r>
              <w:rPr>
                <w:sz w:val="17"/>
                <w:szCs w:val="17"/>
              </w:rPr>
              <w:t xml:space="preserve">Posavski </w:t>
            </w:r>
          </w:p>
        </w:tc>
        <w:tc>
          <w:tcPr>
            <w:tcW w:w="850" w:type="dxa"/>
          </w:tcPr>
          <w:p w:rsidR="006F7C1A" w:rsidRDefault="006F7C1A" w:rsidP="006F7C1A">
            <w:pPr>
              <w:pStyle w:val="Default"/>
              <w:rPr>
                <w:sz w:val="17"/>
                <w:szCs w:val="17"/>
              </w:rPr>
            </w:pPr>
            <w:r>
              <w:rPr>
                <w:sz w:val="17"/>
                <w:szCs w:val="17"/>
              </w:rPr>
              <w:t xml:space="preserve">38.960 </w:t>
            </w:r>
          </w:p>
        </w:tc>
        <w:tc>
          <w:tcPr>
            <w:tcW w:w="851" w:type="dxa"/>
          </w:tcPr>
          <w:p w:rsidR="006F7C1A" w:rsidRDefault="006F7C1A" w:rsidP="006F7C1A">
            <w:pPr>
              <w:pStyle w:val="Default"/>
              <w:rPr>
                <w:sz w:val="17"/>
                <w:szCs w:val="17"/>
              </w:rPr>
            </w:pPr>
            <w:r>
              <w:rPr>
                <w:sz w:val="17"/>
                <w:szCs w:val="17"/>
              </w:rPr>
              <w:t xml:space="preserve">58.440 </w:t>
            </w:r>
          </w:p>
        </w:tc>
        <w:tc>
          <w:tcPr>
            <w:tcW w:w="1134" w:type="dxa"/>
          </w:tcPr>
          <w:p w:rsidR="006F7C1A" w:rsidRDefault="006F7C1A" w:rsidP="006F7C1A">
            <w:pPr>
              <w:pStyle w:val="Default"/>
              <w:rPr>
                <w:sz w:val="17"/>
                <w:szCs w:val="17"/>
              </w:rPr>
            </w:pPr>
            <w:r>
              <w:rPr>
                <w:sz w:val="17"/>
                <w:szCs w:val="17"/>
              </w:rPr>
              <w:t xml:space="preserve">14.123.806 </w:t>
            </w:r>
          </w:p>
        </w:tc>
        <w:tc>
          <w:tcPr>
            <w:tcW w:w="850" w:type="dxa"/>
          </w:tcPr>
          <w:p w:rsidR="006F7C1A" w:rsidRDefault="006F7C1A" w:rsidP="006F7C1A">
            <w:pPr>
              <w:pStyle w:val="Default"/>
              <w:rPr>
                <w:sz w:val="17"/>
                <w:szCs w:val="17"/>
              </w:rPr>
            </w:pPr>
            <w:r>
              <w:rPr>
                <w:sz w:val="17"/>
                <w:szCs w:val="17"/>
              </w:rPr>
              <w:t xml:space="preserve">324,6 </w:t>
            </w:r>
          </w:p>
        </w:tc>
        <w:tc>
          <w:tcPr>
            <w:tcW w:w="851" w:type="dxa"/>
          </w:tcPr>
          <w:p w:rsidR="006F7C1A" w:rsidRDefault="006F7C1A" w:rsidP="006F7C1A">
            <w:pPr>
              <w:pStyle w:val="Default"/>
              <w:rPr>
                <w:sz w:val="17"/>
                <w:szCs w:val="17"/>
              </w:rPr>
            </w:pPr>
            <w:r>
              <w:rPr>
                <w:sz w:val="17"/>
                <w:szCs w:val="17"/>
              </w:rPr>
              <w:t xml:space="preserve">487 </w:t>
            </w:r>
          </w:p>
        </w:tc>
        <w:tc>
          <w:tcPr>
            <w:tcW w:w="1134" w:type="dxa"/>
          </w:tcPr>
          <w:p w:rsidR="006F7C1A" w:rsidRDefault="006F7C1A" w:rsidP="006F7C1A">
            <w:pPr>
              <w:pStyle w:val="Default"/>
              <w:rPr>
                <w:sz w:val="17"/>
                <w:szCs w:val="17"/>
              </w:rPr>
            </w:pPr>
            <w:r>
              <w:rPr>
                <w:sz w:val="17"/>
                <w:szCs w:val="17"/>
              </w:rPr>
              <w:t xml:space="preserve">1.233.702 </w:t>
            </w:r>
          </w:p>
        </w:tc>
        <w:tc>
          <w:tcPr>
            <w:tcW w:w="850" w:type="dxa"/>
          </w:tcPr>
          <w:p w:rsidR="006F7C1A" w:rsidRDefault="006F7C1A" w:rsidP="006F7C1A">
            <w:pPr>
              <w:pStyle w:val="Default"/>
              <w:rPr>
                <w:sz w:val="17"/>
                <w:szCs w:val="17"/>
              </w:rPr>
            </w:pPr>
            <w:r>
              <w:rPr>
                <w:sz w:val="17"/>
                <w:szCs w:val="17"/>
              </w:rPr>
              <w:t xml:space="preserve">3.061 </w:t>
            </w:r>
          </w:p>
        </w:tc>
        <w:tc>
          <w:tcPr>
            <w:tcW w:w="992" w:type="dxa"/>
          </w:tcPr>
          <w:p w:rsidR="006F7C1A" w:rsidRDefault="006F7C1A" w:rsidP="006F7C1A">
            <w:pPr>
              <w:pStyle w:val="Default"/>
              <w:rPr>
                <w:sz w:val="17"/>
                <w:szCs w:val="17"/>
              </w:rPr>
            </w:pPr>
            <w:r>
              <w:rPr>
                <w:sz w:val="17"/>
                <w:szCs w:val="17"/>
              </w:rPr>
              <w:t xml:space="preserve">4.592 </w:t>
            </w:r>
          </w:p>
        </w:tc>
        <w:tc>
          <w:tcPr>
            <w:tcW w:w="1134" w:type="dxa"/>
          </w:tcPr>
          <w:p w:rsidR="006F7C1A" w:rsidRDefault="006F7C1A" w:rsidP="006F7C1A">
            <w:pPr>
              <w:pStyle w:val="Default"/>
              <w:rPr>
                <w:sz w:val="17"/>
                <w:szCs w:val="17"/>
              </w:rPr>
            </w:pPr>
            <w:r>
              <w:rPr>
                <w:sz w:val="17"/>
                <w:szCs w:val="17"/>
              </w:rPr>
              <w:t xml:space="preserve">5.537.463 </w:t>
            </w:r>
          </w:p>
        </w:tc>
        <w:tc>
          <w:tcPr>
            <w:tcW w:w="851" w:type="dxa"/>
          </w:tcPr>
          <w:p w:rsidR="006F7C1A" w:rsidRDefault="006F7C1A" w:rsidP="006F7C1A">
            <w:pPr>
              <w:pStyle w:val="Default"/>
              <w:rPr>
                <w:sz w:val="17"/>
                <w:szCs w:val="17"/>
              </w:rPr>
            </w:pPr>
            <w:r>
              <w:rPr>
                <w:sz w:val="17"/>
                <w:szCs w:val="17"/>
              </w:rPr>
              <w:t xml:space="preserve">1.670 </w:t>
            </w:r>
          </w:p>
        </w:tc>
        <w:tc>
          <w:tcPr>
            <w:tcW w:w="850" w:type="dxa"/>
          </w:tcPr>
          <w:p w:rsidR="006F7C1A" w:rsidRDefault="006F7C1A" w:rsidP="006F7C1A">
            <w:pPr>
              <w:pStyle w:val="Default"/>
              <w:rPr>
                <w:sz w:val="17"/>
                <w:szCs w:val="17"/>
              </w:rPr>
            </w:pPr>
            <w:r>
              <w:rPr>
                <w:sz w:val="17"/>
                <w:szCs w:val="17"/>
              </w:rPr>
              <w:t xml:space="preserve">2.505 </w:t>
            </w:r>
          </w:p>
        </w:tc>
        <w:tc>
          <w:tcPr>
            <w:tcW w:w="1134" w:type="dxa"/>
          </w:tcPr>
          <w:p w:rsidR="006F7C1A" w:rsidRDefault="006F7C1A" w:rsidP="006F7C1A">
            <w:pPr>
              <w:pStyle w:val="Default"/>
              <w:rPr>
                <w:sz w:val="17"/>
                <w:szCs w:val="17"/>
              </w:rPr>
            </w:pPr>
            <w:r>
              <w:rPr>
                <w:sz w:val="17"/>
                <w:szCs w:val="17"/>
              </w:rPr>
              <w:t xml:space="preserve">3.077.039 </w:t>
            </w:r>
          </w:p>
        </w:tc>
        <w:tc>
          <w:tcPr>
            <w:tcW w:w="1276" w:type="dxa"/>
          </w:tcPr>
          <w:p w:rsidR="006F7C1A" w:rsidRDefault="006F7C1A" w:rsidP="006F7C1A">
            <w:pPr>
              <w:pStyle w:val="Default"/>
              <w:rPr>
                <w:sz w:val="17"/>
                <w:szCs w:val="17"/>
              </w:rPr>
            </w:pPr>
            <w:r>
              <w:rPr>
                <w:b/>
                <w:bCs/>
                <w:sz w:val="17"/>
                <w:szCs w:val="17"/>
              </w:rPr>
              <w:t xml:space="preserve">23.972.010 </w:t>
            </w:r>
          </w:p>
        </w:tc>
        <w:tc>
          <w:tcPr>
            <w:tcW w:w="992" w:type="dxa"/>
          </w:tcPr>
          <w:p w:rsidR="006F7C1A" w:rsidRDefault="006F7C1A" w:rsidP="006F7C1A">
            <w:pPr>
              <w:pStyle w:val="Default"/>
              <w:rPr>
                <w:sz w:val="17"/>
                <w:szCs w:val="17"/>
              </w:rPr>
            </w:pPr>
            <w:r>
              <w:rPr>
                <w:b/>
                <w:bCs/>
                <w:sz w:val="17"/>
                <w:szCs w:val="17"/>
              </w:rPr>
              <w:t xml:space="preserve">1,996% </w:t>
            </w:r>
          </w:p>
        </w:tc>
      </w:tr>
      <w:tr w:rsidR="006F7C1A" w:rsidTr="006F7C1A">
        <w:trPr>
          <w:trHeight w:val="78"/>
        </w:trPr>
        <w:tc>
          <w:tcPr>
            <w:tcW w:w="1135" w:type="dxa"/>
          </w:tcPr>
          <w:p w:rsidR="006F7C1A" w:rsidRPr="00B466A5" w:rsidRDefault="006F7C1A" w:rsidP="006F7C1A">
            <w:pPr>
              <w:pStyle w:val="Default"/>
              <w:rPr>
                <w:sz w:val="17"/>
                <w:szCs w:val="17"/>
              </w:rPr>
            </w:pPr>
            <w:r w:rsidRPr="00B466A5">
              <w:rPr>
                <w:bCs/>
                <w:sz w:val="17"/>
                <w:szCs w:val="17"/>
              </w:rPr>
              <w:t xml:space="preserve">Tuzlanski </w:t>
            </w:r>
          </w:p>
        </w:tc>
        <w:tc>
          <w:tcPr>
            <w:tcW w:w="850" w:type="dxa"/>
          </w:tcPr>
          <w:p w:rsidR="006F7C1A" w:rsidRDefault="006F7C1A" w:rsidP="006F7C1A">
            <w:pPr>
              <w:pStyle w:val="Default"/>
              <w:rPr>
                <w:sz w:val="17"/>
                <w:szCs w:val="17"/>
              </w:rPr>
            </w:pPr>
            <w:r>
              <w:rPr>
                <w:sz w:val="17"/>
                <w:szCs w:val="17"/>
              </w:rPr>
              <w:t xml:space="preserve">498.911 </w:t>
            </w:r>
          </w:p>
        </w:tc>
        <w:tc>
          <w:tcPr>
            <w:tcW w:w="851" w:type="dxa"/>
          </w:tcPr>
          <w:p w:rsidR="006F7C1A" w:rsidRDefault="006F7C1A" w:rsidP="006F7C1A">
            <w:pPr>
              <w:pStyle w:val="Default"/>
              <w:rPr>
                <w:sz w:val="17"/>
                <w:szCs w:val="17"/>
              </w:rPr>
            </w:pPr>
            <w:r>
              <w:rPr>
                <w:sz w:val="17"/>
                <w:szCs w:val="17"/>
              </w:rPr>
              <w:t xml:space="preserve">498.911 </w:t>
            </w:r>
          </w:p>
        </w:tc>
        <w:tc>
          <w:tcPr>
            <w:tcW w:w="1134" w:type="dxa"/>
          </w:tcPr>
          <w:p w:rsidR="006F7C1A" w:rsidRDefault="006F7C1A" w:rsidP="006F7C1A">
            <w:pPr>
              <w:pStyle w:val="Default"/>
              <w:rPr>
                <w:sz w:val="17"/>
                <w:szCs w:val="17"/>
              </w:rPr>
            </w:pPr>
            <w:r>
              <w:rPr>
                <w:sz w:val="17"/>
                <w:szCs w:val="17"/>
              </w:rPr>
              <w:t xml:space="preserve">120.577.037 </w:t>
            </w:r>
          </w:p>
        </w:tc>
        <w:tc>
          <w:tcPr>
            <w:tcW w:w="850" w:type="dxa"/>
          </w:tcPr>
          <w:p w:rsidR="006F7C1A" w:rsidRDefault="006F7C1A" w:rsidP="006F7C1A">
            <w:pPr>
              <w:pStyle w:val="Default"/>
              <w:rPr>
                <w:sz w:val="17"/>
                <w:szCs w:val="17"/>
              </w:rPr>
            </w:pPr>
            <w:r>
              <w:rPr>
                <w:sz w:val="17"/>
                <w:szCs w:val="17"/>
              </w:rPr>
              <w:t xml:space="preserve">2.649,0 </w:t>
            </w:r>
          </w:p>
        </w:tc>
        <w:tc>
          <w:tcPr>
            <w:tcW w:w="851" w:type="dxa"/>
          </w:tcPr>
          <w:p w:rsidR="006F7C1A" w:rsidRDefault="006F7C1A" w:rsidP="006F7C1A">
            <w:pPr>
              <w:pStyle w:val="Default"/>
              <w:rPr>
                <w:sz w:val="17"/>
                <w:szCs w:val="17"/>
              </w:rPr>
            </w:pPr>
            <w:r>
              <w:rPr>
                <w:sz w:val="17"/>
                <w:szCs w:val="17"/>
              </w:rPr>
              <w:t xml:space="preserve">2.649 </w:t>
            </w:r>
          </w:p>
        </w:tc>
        <w:tc>
          <w:tcPr>
            <w:tcW w:w="1134" w:type="dxa"/>
          </w:tcPr>
          <w:p w:rsidR="006F7C1A" w:rsidRDefault="006F7C1A" w:rsidP="006F7C1A">
            <w:pPr>
              <w:pStyle w:val="Default"/>
              <w:rPr>
                <w:sz w:val="17"/>
                <w:szCs w:val="17"/>
              </w:rPr>
            </w:pPr>
            <w:r>
              <w:rPr>
                <w:sz w:val="17"/>
                <w:szCs w:val="17"/>
              </w:rPr>
              <w:t xml:space="preserve">6.712.007 </w:t>
            </w:r>
          </w:p>
        </w:tc>
        <w:tc>
          <w:tcPr>
            <w:tcW w:w="850" w:type="dxa"/>
          </w:tcPr>
          <w:p w:rsidR="006F7C1A" w:rsidRDefault="006F7C1A" w:rsidP="006F7C1A">
            <w:pPr>
              <w:pStyle w:val="Default"/>
              <w:rPr>
                <w:sz w:val="17"/>
                <w:szCs w:val="17"/>
              </w:rPr>
            </w:pPr>
            <w:r>
              <w:rPr>
                <w:sz w:val="17"/>
                <w:szCs w:val="17"/>
              </w:rPr>
              <w:t xml:space="preserve">40.028 </w:t>
            </w:r>
          </w:p>
        </w:tc>
        <w:tc>
          <w:tcPr>
            <w:tcW w:w="992" w:type="dxa"/>
          </w:tcPr>
          <w:p w:rsidR="006F7C1A" w:rsidRDefault="006F7C1A" w:rsidP="006F7C1A">
            <w:pPr>
              <w:pStyle w:val="Default"/>
              <w:rPr>
                <w:sz w:val="17"/>
                <w:szCs w:val="17"/>
              </w:rPr>
            </w:pPr>
            <w:r>
              <w:rPr>
                <w:sz w:val="17"/>
                <w:szCs w:val="17"/>
              </w:rPr>
              <w:t xml:space="preserve">40.028 </w:t>
            </w:r>
          </w:p>
        </w:tc>
        <w:tc>
          <w:tcPr>
            <w:tcW w:w="1134" w:type="dxa"/>
          </w:tcPr>
          <w:p w:rsidR="006F7C1A" w:rsidRDefault="006F7C1A" w:rsidP="006F7C1A">
            <w:pPr>
              <w:pStyle w:val="Default"/>
              <w:rPr>
                <w:sz w:val="17"/>
                <w:szCs w:val="17"/>
              </w:rPr>
            </w:pPr>
            <w:r>
              <w:rPr>
                <w:sz w:val="17"/>
                <w:szCs w:val="17"/>
              </w:rPr>
              <w:t xml:space="preserve">48.274.759 </w:t>
            </w:r>
          </w:p>
        </w:tc>
        <w:tc>
          <w:tcPr>
            <w:tcW w:w="851" w:type="dxa"/>
          </w:tcPr>
          <w:p w:rsidR="006F7C1A" w:rsidRDefault="006F7C1A" w:rsidP="006F7C1A">
            <w:pPr>
              <w:pStyle w:val="Default"/>
              <w:rPr>
                <w:sz w:val="17"/>
                <w:szCs w:val="17"/>
              </w:rPr>
            </w:pPr>
            <w:r>
              <w:rPr>
                <w:sz w:val="17"/>
                <w:szCs w:val="17"/>
              </w:rPr>
              <w:t xml:space="preserve">22.484 </w:t>
            </w:r>
          </w:p>
        </w:tc>
        <w:tc>
          <w:tcPr>
            <w:tcW w:w="850" w:type="dxa"/>
          </w:tcPr>
          <w:p w:rsidR="006F7C1A" w:rsidRDefault="006F7C1A" w:rsidP="006F7C1A">
            <w:pPr>
              <w:pStyle w:val="Default"/>
              <w:rPr>
                <w:sz w:val="17"/>
                <w:szCs w:val="17"/>
              </w:rPr>
            </w:pPr>
            <w:r>
              <w:rPr>
                <w:sz w:val="17"/>
                <w:szCs w:val="17"/>
              </w:rPr>
              <w:t xml:space="preserve">22.484 </w:t>
            </w:r>
          </w:p>
        </w:tc>
        <w:tc>
          <w:tcPr>
            <w:tcW w:w="1134" w:type="dxa"/>
          </w:tcPr>
          <w:p w:rsidR="006F7C1A" w:rsidRDefault="006F7C1A" w:rsidP="006F7C1A">
            <w:pPr>
              <w:pStyle w:val="Default"/>
              <w:rPr>
                <w:sz w:val="17"/>
                <w:szCs w:val="17"/>
              </w:rPr>
            </w:pPr>
            <w:r>
              <w:rPr>
                <w:sz w:val="17"/>
                <w:szCs w:val="17"/>
              </w:rPr>
              <w:t xml:space="preserve">27.618.425 </w:t>
            </w:r>
          </w:p>
        </w:tc>
        <w:tc>
          <w:tcPr>
            <w:tcW w:w="1276" w:type="dxa"/>
          </w:tcPr>
          <w:p w:rsidR="006F7C1A" w:rsidRDefault="006F7C1A" w:rsidP="006F7C1A">
            <w:pPr>
              <w:pStyle w:val="Default"/>
              <w:rPr>
                <w:sz w:val="17"/>
                <w:szCs w:val="17"/>
              </w:rPr>
            </w:pPr>
            <w:r>
              <w:rPr>
                <w:b/>
                <w:bCs/>
                <w:sz w:val="17"/>
                <w:szCs w:val="17"/>
              </w:rPr>
              <w:t xml:space="preserve">203.182.229 </w:t>
            </w:r>
          </w:p>
        </w:tc>
        <w:tc>
          <w:tcPr>
            <w:tcW w:w="992" w:type="dxa"/>
          </w:tcPr>
          <w:p w:rsidR="006F7C1A" w:rsidRDefault="006F7C1A" w:rsidP="006F7C1A">
            <w:pPr>
              <w:pStyle w:val="Default"/>
              <w:rPr>
                <w:sz w:val="17"/>
                <w:szCs w:val="17"/>
              </w:rPr>
            </w:pPr>
            <w:r>
              <w:rPr>
                <w:b/>
                <w:bCs/>
                <w:sz w:val="17"/>
                <w:szCs w:val="17"/>
              </w:rPr>
              <w:t xml:space="preserve">16,914% </w:t>
            </w:r>
          </w:p>
        </w:tc>
      </w:tr>
      <w:tr w:rsidR="006F7C1A" w:rsidTr="006F7C1A">
        <w:trPr>
          <w:trHeight w:val="174"/>
        </w:trPr>
        <w:tc>
          <w:tcPr>
            <w:tcW w:w="1135" w:type="dxa"/>
          </w:tcPr>
          <w:p w:rsidR="006F7C1A" w:rsidRDefault="006F7C1A" w:rsidP="006F7C1A">
            <w:pPr>
              <w:pStyle w:val="Default"/>
              <w:rPr>
                <w:sz w:val="17"/>
                <w:szCs w:val="17"/>
              </w:rPr>
            </w:pPr>
            <w:r>
              <w:rPr>
                <w:sz w:val="17"/>
                <w:szCs w:val="17"/>
              </w:rPr>
              <w:t xml:space="preserve">Zeničko-dobojski </w:t>
            </w:r>
          </w:p>
        </w:tc>
        <w:tc>
          <w:tcPr>
            <w:tcW w:w="850" w:type="dxa"/>
          </w:tcPr>
          <w:p w:rsidR="006F7C1A" w:rsidRDefault="006F7C1A" w:rsidP="006F7C1A">
            <w:pPr>
              <w:pStyle w:val="Default"/>
              <w:rPr>
                <w:sz w:val="17"/>
                <w:szCs w:val="17"/>
              </w:rPr>
            </w:pPr>
            <w:r>
              <w:rPr>
                <w:sz w:val="17"/>
                <w:szCs w:val="17"/>
              </w:rPr>
              <w:t xml:space="preserve">398.655 </w:t>
            </w:r>
          </w:p>
        </w:tc>
        <w:tc>
          <w:tcPr>
            <w:tcW w:w="851" w:type="dxa"/>
          </w:tcPr>
          <w:p w:rsidR="006F7C1A" w:rsidRDefault="006F7C1A" w:rsidP="006F7C1A">
            <w:pPr>
              <w:pStyle w:val="Default"/>
              <w:rPr>
                <w:sz w:val="17"/>
                <w:szCs w:val="17"/>
              </w:rPr>
            </w:pPr>
            <w:r>
              <w:rPr>
                <w:sz w:val="17"/>
                <w:szCs w:val="17"/>
              </w:rPr>
              <w:t xml:space="preserve">398.655 </w:t>
            </w:r>
          </w:p>
        </w:tc>
        <w:tc>
          <w:tcPr>
            <w:tcW w:w="1134" w:type="dxa"/>
          </w:tcPr>
          <w:p w:rsidR="006F7C1A" w:rsidRDefault="006F7C1A" w:rsidP="006F7C1A">
            <w:pPr>
              <w:pStyle w:val="Default"/>
              <w:rPr>
                <w:sz w:val="17"/>
                <w:szCs w:val="17"/>
              </w:rPr>
            </w:pPr>
            <w:r>
              <w:rPr>
                <w:sz w:val="17"/>
                <w:szCs w:val="17"/>
              </w:rPr>
              <w:t xml:space="preserve">96.347.121 </w:t>
            </w:r>
          </w:p>
        </w:tc>
        <w:tc>
          <w:tcPr>
            <w:tcW w:w="850" w:type="dxa"/>
          </w:tcPr>
          <w:p w:rsidR="006F7C1A" w:rsidRDefault="006F7C1A" w:rsidP="006F7C1A">
            <w:pPr>
              <w:pStyle w:val="Default"/>
              <w:rPr>
                <w:sz w:val="17"/>
                <w:szCs w:val="17"/>
              </w:rPr>
            </w:pPr>
            <w:r>
              <w:rPr>
                <w:sz w:val="17"/>
                <w:szCs w:val="17"/>
              </w:rPr>
              <w:t xml:space="preserve">3.343,3 </w:t>
            </w:r>
          </w:p>
        </w:tc>
        <w:tc>
          <w:tcPr>
            <w:tcW w:w="851" w:type="dxa"/>
          </w:tcPr>
          <w:p w:rsidR="006F7C1A" w:rsidRDefault="006F7C1A" w:rsidP="006F7C1A">
            <w:pPr>
              <w:pStyle w:val="Default"/>
              <w:rPr>
                <w:sz w:val="17"/>
                <w:szCs w:val="17"/>
              </w:rPr>
            </w:pPr>
            <w:r>
              <w:rPr>
                <w:sz w:val="17"/>
                <w:szCs w:val="17"/>
              </w:rPr>
              <w:t xml:space="preserve">3.343 </w:t>
            </w:r>
          </w:p>
        </w:tc>
        <w:tc>
          <w:tcPr>
            <w:tcW w:w="1134" w:type="dxa"/>
          </w:tcPr>
          <w:p w:rsidR="006F7C1A" w:rsidRDefault="006F7C1A" w:rsidP="006F7C1A">
            <w:pPr>
              <w:pStyle w:val="Default"/>
              <w:rPr>
                <w:sz w:val="17"/>
                <w:szCs w:val="17"/>
              </w:rPr>
            </w:pPr>
            <w:r>
              <w:rPr>
                <w:sz w:val="17"/>
                <w:szCs w:val="17"/>
              </w:rPr>
              <w:t xml:space="preserve">8.471.217 </w:t>
            </w:r>
          </w:p>
        </w:tc>
        <w:tc>
          <w:tcPr>
            <w:tcW w:w="850" w:type="dxa"/>
          </w:tcPr>
          <w:p w:rsidR="006F7C1A" w:rsidRDefault="006F7C1A" w:rsidP="006F7C1A">
            <w:pPr>
              <w:pStyle w:val="Default"/>
              <w:rPr>
                <w:sz w:val="17"/>
                <w:szCs w:val="17"/>
              </w:rPr>
            </w:pPr>
            <w:r>
              <w:rPr>
                <w:sz w:val="17"/>
                <w:szCs w:val="17"/>
              </w:rPr>
              <w:t xml:space="preserve">35.228 </w:t>
            </w:r>
          </w:p>
        </w:tc>
        <w:tc>
          <w:tcPr>
            <w:tcW w:w="992" w:type="dxa"/>
          </w:tcPr>
          <w:p w:rsidR="006F7C1A" w:rsidRDefault="006F7C1A" w:rsidP="006F7C1A">
            <w:pPr>
              <w:pStyle w:val="Default"/>
              <w:rPr>
                <w:sz w:val="17"/>
                <w:szCs w:val="17"/>
              </w:rPr>
            </w:pPr>
            <w:r>
              <w:rPr>
                <w:sz w:val="17"/>
                <w:szCs w:val="17"/>
              </w:rPr>
              <w:t xml:space="preserve">35.228 </w:t>
            </w:r>
          </w:p>
        </w:tc>
        <w:tc>
          <w:tcPr>
            <w:tcW w:w="1134" w:type="dxa"/>
          </w:tcPr>
          <w:p w:rsidR="006F7C1A" w:rsidRDefault="006F7C1A" w:rsidP="006F7C1A">
            <w:pPr>
              <w:pStyle w:val="Default"/>
              <w:rPr>
                <w:sz w:val="17"/>
                <w:szCs w:val="17"/>
              </w:rPr>
            </w:pPr>
            <w:r>
              <w:rPr>
                <w:sz w:val="17"/>
                <w:szCs w:val="17"/>
              </w:rPr>
              <w:t xml:space="preserve">42.485.840 </w:t>
            </w:r>
          </w:p>
        </w:tc>
        <w:tc>
          <w:tcPr>
            <w:tcW w:w="851" w:type="dxa"/>
          </w:tcPr>
          <w:p w:rsidR="006F7C1A" w:rsidRDefault="006F7C1A" w:rsidP="006F7C1A">
            <w:pPr>
              <w:pStyle w:val="Default"/>
              <w:rPr>
                <w:sz w:val="17"/>
                <w:szCs w:val="17"/>
              </w:rPr>
            </w:pPr>
            <w:r>
              <w:rPr>
                <w:sz w:val="17"/>
                <w:szCs w:val="17"/>
              </w:rPr>
              <w:t xml:space="preserve">17.900 </w:t>
            </w:r>
          </w:p>
        </w:tc>
        <w:tc>
          <w:tcPr>
            <w:tcW w:w="850" w:type="dxa"/>
          </w:tcPr>
          <w:p w:rsidR="006F7C1A" w:rsidRDefault="006F7C1A" w:rsidP="006F7C1A">
            <w:pPr>
              <w:pStyle w:val="Default"/>
              <w:rPr>
                <w:sz w:val="17"/>
                <w:szCs w:val="17"/>
              </w:rPr>
            </w:pPr>
            <w:r>
              <w:rPr>
                <w:sz w:val="17"/>
                <w:szCs w:val="17"/>
              </w:rPr>
              <w:t xml:space="preserve">17.900 </w:t>
            </w:r>
          </w:p>
        </w:tc>
        <w:tc>
          <w:tcPr>
            <w:tcW w:w="1134" w:type="dxa"/>
          </w:tcPr>
          <w:p w:rsidR="006F7C1A" w:rsidRDefault="006F7C1A" w:rsidP="006F7C1A">
            <w:pPr>
              <w:pStyle w:val="Default"/>
              <w:rPr>
                <w:sz w:val="17"/>
                <w:szCs w:val="17"/>
              </w:rPr>
            </w:pPr>
            <w:r>
              <w:rPr>
                <w:sz w:val="17"/>
                <w:szCs w:val="17"/>
              </w:rPr>
              <w:t xml:space="preserve">21.987.627 </w:t>
            </w:r>
          </w:p>
        </w:tc>
        <w:tc>
          <w:tcPr>
            <w:tcW w:w="1276" w:type="dxa"/>
          </w:tcPr>
          <w:p w:rsidR="006F7C1A" w:rsidRDefault="006F7C1A" w:rsidP="006F7C1A">
            <w:pPr>
              <w:pStyle w:val="Default"/>
              <w:rPr>
                <w:sz w:val="17"/>
                <w:szCs w:val="17"/>
              </w:rPr>
            </w:pPr>
            <w:r>
              <w:rPr>
                <w:b/>
                <w:bCs/>
                <w:sz w:val="17"/>
                <w:szCs w:val="17"/>
              </w:rPr>
              <w:t xml:space="preserve">169.291.806 </w:t>
            </w:r>
          </w:p>
        </w:tc>
        <w:tc>
          <w:tcPr>
            <w:tcW w:w="992" w:type="dxa"/>
          </w:tcPr>
          <w:p w:rsidR="006F7C1A" w:rsidRDefault="006F7C1A" w:rsidP="006F7C1A">
            <w:pPr>
              <w:pStyle w:val="Default"/>
              <w:rPr>
                <w:sz w:val="17"/>
                <w:szCs w:val="17"/>
              </w:rPr>
            </w:pPr>
            <w:r>
              <w:rPr>
                <w:b/>
                <w:bCs/>
                <w:sz w:val="17"/>
                <w:szCs w:val="17"/>
              </w:rPr>
              <w:t xml:space="preserve">14,093% </w:t>
            </w:r>
          </w:p>
        </w:tc>
      </w:tr>
      <w:tr w:rsidR="006F7C1A" w:rsidTr="006F7C1A">
        <w:trPr>
          <w:trHeight w:val="174"/>
        </w:trPr>
        <w:tc>
          <w:tcPr>
            <w:tcW w:w="1135" w:type="dxa"/>
          </w:tcPr>
          <w:p w:rsidR="006F7C1A" w:rsidRDefault="006F7C1A" w:rsidP="006F7C1A">
            <w:pPr>
              <w:pStyle w:val="Default"/>
              <w:rPr>
                <w:sz w:val="17"/>
                <w:szCs w:val="17"/>
              </w:rPr>
            </w:pPr>
            <w:r>
              <w:rPr>
                <w:sz w:val="17"/>
                <w:szCs w:val="17"/>
              </w:rPr>
              <w:t xml:space="preserve">Bosansko-podrinjski </w:t>
            </w:r>
          </w:p>
        </w:tc>
        <w:tc>
          <w:tcPr>
            <w:tcW w:w="850" w:type="dxa"/>
          </w:tcPr>
          <w:p w:rsidR="006F7C1A" w:rsidRDefault="006F7C1A" w:rsidP="006F7C1A">
            <w:pPr>
              <w:pStyle w:val="Default"/>
              <w:rPr>
                <w:sz w:val="17"/>
                <w:szCs w:val="17"/>
              </w:rPr>
            </w:pPr>
            <w:r>
              <w:rPr>
                <w:sz w:val="17"/>
                <w:szCs w:val="17"/>
              </w:rPr>
              <w:t xml:space="preserve">32.428 </w:t>
            </w:r>
          </w:p>
        </w:tc>
        <w:tc>
          <w:tcPr>
            <w:tcW w:w="851" w:type="dxa"/>
          </w:tcPr>
          <w:p w:rsidR="006F7C1A" w:rsidRDefault="006F7C1A" w:rsidP="006F7C1A">
            <w:pPr>
              <w:pStyle w:val="Default"/>
              <w:rPr>
                <w:sz w:val="17"/>
                <w:szCs w:val="17"/>
              </w:rPr>
            </w:pPr>
            <w:r>
              <w:rPr>
                <w:sz w:val="17"/>
                <w:szCs w:val="17"/>
              </w:rPr>
              <w:t xml:space="preserve">58.370 </w:t>
            </w:r>
          </w:p>
        </w:tc>
        <w:tc>
          <w:tcPr>
            <w:tcW w:w="1134" w:type="dxa"/>
          </w:tcPr>
          <w:p w:rsidR="006F7C1A" w:rsidRDefault="006F7C1A" w:rsidP="006F7C1A">
            <w:pPr>
              <w:pStyle w:val="Default"/>
              <w:rPr>
                <w:sz w:val="17"/>
                <w:szCs w:val="17"/>
              </w:rPr>
            </w:pPr>
            <w:r>
              <w:rPr>
                <w:sz w:val="17"/>
                <w:szCs w:val="17"/>
              </w:rPr>
              <w:t xml:space="preserve">14.106.985 </w:t>
            </w:r>
          </w:p>
        </w:tc>
        <w:tc>
          <w:tcPr>
            <w:tcW w:w="850" w:type="dxa"/>
          </w:tcPr>
          <w:p w:rsidR="006F7C1A" w:rsidRDefault="006F7C1A" w:rsidP="006F7C1A">
            <w:pPr>
              <w:pStyle w:val="Default"/>
              <w:rPr>
                <w:sz w:val="17"/>
                <w:szCs w:val="17"/>
              </w:rPr>
            </w:pPr>
            <w:r>
              <w:rPr>
                <w:sz w:val="17"/>
                <w:szCs w:val="17"/>
              </w:rPr>
              <w:t xml:space="preserve">504,6 </w:t>
            </w:r>
          </w:p>
        </w:tc>
        <w:tc>
          <w:tcPr>
            <w:tcW w:w="851" w:type="dxa"/>
          </w:tcPr>
          <w:p w:rsidR="006F7C1A" w:rsidRDefault="006F7C1A" w:rsidP="006F7C1A">
            <w:pPr>
              <w:pStyle w:val="Default"/>
              <w:rPr>
                <w:sz w:val="17"/>
                <w:szCs w:val="17"/>
              </w:rPr>
            </w:pPr>
            <w:r>
              <w:rPr>
                <w:sz w:val="17"/>
                <w:szCs w:val="17"/>
              </w:rPr>
              <w:t xml:space="preserve">908 </w:t>
            </w:r>
          </w:p>
        </w:tc>
        <w:tc>
          <w:tcPr>
            <w:tcW w:w="1134" w:type="dxa"/>
          </w:tcPr>
          <w:p w:rsidR="006F7C1A" w:rsidRDefault="006F7C1A" w:rsidP="006F7C1A">
            <w:pPr>
              <w:pStyle w:val="Default"/>
              <w:rPr>
                <w:sz w:val="17"/>
                <w:szCs w:val="17"/>
              </w:rPr>
            </w:pPr>
            <w:r>
              <w:rPr>
                <w:sz w:val="17"/>
                <w:szCs w:val="17"/>
              </w:rPr>
              <w:t xml:space="preserve">2.301.390 </w:t>
            </w:r>
          </w:p>
        </w:tc>
        <w:tc>
          <w:tcPr>
            <w:tcW w:w="850" w:type="dxa"/>
          </w:tcPr>
          <w:p w:rsidR="006F7C1A" w:rsidRDefault="006F7C1A" w:rsidP="006F7C1A">
            <w:pPr>
              <w:pStyle w:val="Default"/>
              <w:rPr>
                <w:sz w:val="17"/>
                <w:szCs w:val="17"/>
              </w:rPr>
            </w:pPr>
            <w:r>
              <w:rPr>
                <w:sz w:val="17"/>
                <w:szCs w:val="17"/>
              </w:rPr>
              <w:t xml:space="preserve">2.061 </w:t>
            </w:r>
          </w:p>
        </w:tc>
        <w:tc>
          <w:tcPr>
            <w:tcW w:w="992" w:type="dxa"/>
          </w:tcPr>
          <w:p w:rsidR="006F7C1A" w:rsidRDefault="006F7C1A" w:rsidP="006F7C1A">
            <w:pPr>
              <w:pStyle w:val="Default"/>
              <w:rPr>
                <w:sz w:val="17"/>
                <w:szCs w:val="17"/>
              </w:rPr>
            </w:pPr>
            <w:r>
              <w:rPr>
                <w:sz w:val="17"/>
                <w:szCs w:val="17"/>
              </w:rPr>
              <w:t xml:space="preserve">3.710 </w:t>
            </w:r>
          </w:p>
        </w:tc>
        <w:tc>
          <w:tcPr>
            <w:tcW w:w="1134" w:type="dxa"/>
          </w:tcPr>
          <w:p w:rsidR="006F7C1A" w:rsidRDefault="006F7C1A" w:rsidP="006F7C1A">
            <w:pPr>
              <w:pStyle w:val="Default"/>
              <w:rPr>
                <w:sz w:val="17"/>
                <w:szCs w:val="17"/>
              </w:rPr>
            </w:pPr>
            <w:r>
              <w:rPr>
                <w:sz w:val="17"/>
                <w:szCs w:val="17"/>
              </w:rPr>
              <w:t xml:space="preserve">4.474.111 </w:t>
            </w:r>
          </w:p>
        </w:tc>
        <w:tc>
          <w:tcPr>
            <w:tcW w:w="851" w:type="dxa"/>
          </w:tcPr>
          <w:p w:rsidR="006F7C1A" w:rsidRDefault="006F7C1A" w:rsidP="006F7C1A">
            <w:pPr>
              <w:pStyle w:val="Default"/>
              <w:rPr>
                <w:sz w:val="17"/>
                <w:szCs w:val="17"/>
              </w:rPr>
            </w:pPr>
            <w:r>
              <w:rPr>
                <w:sz w:val="17"/>
                <w:szCs w:val="17"/>
              </w:rPr>
              <w:t xml:space="preserve">1.242 </w:t>
            </w:r>
          </w:p>
        </w:tc>
        <w:tc>
          <w:tcPr>
            <w:tcW w:w="850" w:type="dxa"/>
          </w:tcPr>
          <w:p w:rsidR="006F7C1A" w:rsidRDefault="006F7C1A" w:rsidP="006F7C1A">
            <w:pPr>
              <w:pStyle w:val="Default"/>
              <w:rPr>
                <w:sz w:val="17"/>
                <w:szCs w:val="17"/>
              </w:rPr>
            </w:pPr>
            <w:r>
              <w:rPr>
                <w:sz w:val="17"/>
                <w:szCs w:val="17"/>
              </w:rPr>
              <w:t xml:space="preserve">2.236 </w:t>
            </w:r>
          </w:p>
        </w:tc>
        <w:tc>
          <w:tcPr>
            <w:tcW w:w="1134" w:type="dxa"/>
          </w:tcPr>
          <w:p w:rsidR="006F7C1A" w:rsidRDefault="006F7C1A" w:rsidP="006F7C1A">
            <w:pPr>
              <w:pStyle w:val="Default"/>
              <w:rPr>
                <w:sz w:val="17"/>
                <w:szCs w:val="17"/>
              </w:rPr>
            </w:pPr>
            <w:r>
              <w:rPr>
                <w:sz w:val="17"/>
                <w:szCs w:val="17"/>
              </w:rPr>
              <w:t xml:space="preserve">2.746.119 </w:t>
            </w:r>
          </w:p>
        </w:tc>
        <w:tc>
          <w:tcPr>
            <w:tcW w:w="1276" w:type="dxa"/>
          </w:tcPr>
          <w:p w:rsidR="006F7C1A" w:rsidRDefault="006F7C1A" w:rsidP="006F7C1A">
            <w:pPr>
              <w:pStyle w:val="Default"/>
              <w:rPr>
                <w:sz w:val="17"/>
                <w:szCs w:val="17"/>
              </w:rPr>
            </w:pPr>
            <w:r>
              <w:rPr>
                <w:b/>
                <w:bCs/>
                <w:sz w:val="17"/>
                <w:szCs w:val="17"/>
              </w:rPr>
              <w:t xml:space="preserve">23.628.605 </w:t>
            </w:r>
          </w:p>
        </w:tc>
        <w:tc>
          <w:tcPr>
            <w:tcW w:w="992" w:type="dxa"/>
          </w:tcPr>
          <w:p w:rsidR="006F7C1A" w:rsidRDefault="006F7C1A" w:rsidP="006F7C1A">
            <w:pPr>
              <w:pStyle w:val="Default"/>
              <w:rPr>
                <w:sz w:val="17"/>
                <w:szCs w:val="17"/>
              </w:rPr>
            </w:pPr>
            <w:r>
              <w:rPr>
                <w:b/>
                <w:bCs/>
                <w:sz w:val="17"/>
                <w:szCs w:val="17"/>
              </w:rPr>
              <w:t xml:space="preserve">1,967% </w:t>
            </w:r>
          </w:p>
        </w:tc>
      </w:tr>
      <w:tr w:rsidR="006F7C1A" w:rsidTr="006F7C1A">
        <w:trPr>
          <w:trHeight w:val="174"/>
        </w:trPr>
        <w:tc>
          <w:tcPr>
            <w:tcW w:w="1135" w:type="dxa"/>
          </w:tcPr>
          <w:p w:rsidR="006F7C1A" w:rsidRDefault="006F7C1A" w:rsidP="006F7C1A">
            <w:pPr>
              <w:pStyle w:val="Default"/>
              <w:rPr>
                <w:sz w:val="17"/>
                <w:szCs w:val="17"/>
              </w:rPr>
            </w:pPr>
            <w:r>
              <w:rPr>
                <w:sz w:val="17"/>
                <w:szCs w:val="17"/>
              </w:rPr>
              <w:t xml:space="preserve">Srednjobosa-nski kanton </w:t>
            </w:r>
          </w:p>
        </w:tc>
        <w:tc>
          <w:tcPr>
            <w:tcW w:w="850" w:type="dxa"/>
          </w:tcPr>
          <w:p w:rsidR="006F7C1A" w:rsidRDefault="006F7C1A" w:rsidP="006F7C1A">
            <w:pPr>
              <w:pStyle w:val="Default"/>
              <w:rPr>
                <w:sz w:val="17"/>
                <w:szCs w:val="17"/>
              </w:rPr>
            </w:pPr>
            <w:r>
              <w:rPr>
                <w:sz w:val="17"/>
                <w:szCs w:val="17"/>
              </w:rPr>
              <w:t xml:space="preserve">253.149 </w:t>
            </w:r>
          </w:p>
        </w:tc>
        <w:tc>
          <w:tcPr>
            <w:tcW w:w="851" w:type="dxa"/>
          </w:tcPr>
          <w:p w:rsidR="006F7C1A" w:rsidRDefault="006F7C1A" w:rsidP="006F7C1A">
            <w:pPr>
              <w:pStyle w:val="Default"/>
              <w:rPr>
                <w:sz w:val="17"/>
                <w:szCs w:val="17"/>
              </w:rPr>
            </w:pPr>
            <w:r>
              <w:rPr>
                <w:sz w:val="17"/>
                <w:szCs w:val="17"/>
              </w:rPr>
              <w:t xml:space="preserve">253.149 </w:t>
            </w:r>
          </w:p>
        </w:tc>
        <w:tc>
          <w:tcPr>
            <w:tcW w:w="1134" w:type="dxa"/>
          </w:tcPr>
          <w:p w:rsidR="006F7C1A" w:rsidRDefault="006F7C1A" w:rsidP="006F7C1A">
            <w:pPr>
              <w:pStyle w:val="Default"/>
              <w:rPr>
                <w:sz w:val="17"/>
                <w:szCs w:val="17"/>
              </w:rPr>
            </w:pPr>
            <w:r>
              <w:rPr>
                <w:sz w:val="17"/>
                <w:szCs w:val="17"/>
              </w:rPr>
              <w:t xml:space="preserve">61.181.165 </w:t>
            </w:r>
          </w:p>
        </w:tc>
        <w:tc>
          <w:tcPr>
            <w:tcW w:w="850" w:type="dxa"/>
          </w:tcPr>
          <w:p w:rsidR="006F7C1A" w:rsidRDefault="006F7C1A" w:rsidP="006F7C1A">
            <w:pPr>
              <w:pStyle w:val="Default"/>
              <w:rPr>
                <w:sz w:val="17"/>
                <w:szCs w:val="17"/>
              </w:rPr>
            </w:pPr>
            <w:r>
              <w:rPr>
                <w:sz w:val="17"/>
                <w:szCs w:val="17"/>
              </w:rPr>
              <w:t xml:space="preserve">3.189,0 </w:t>
            </w:r>
          </w:p>
        </w:tc>
        <w:tc>
          <w:tcPr>
            <w:tcW w:w="851" w:type="dxa"/>
          </w:tcPr>
          <w:p w:rsidR="006F7C1A" w:rsidRDefault="006F7C1A" w:rsidP="006F7C1A">
            <w:pPr>
              <w:pStyle w:val="Default"/>
              <w:rPr>
                <w:sz w:val="17"/>
                <w:szCs w:val="17"/>
              </w:rPr>
            </w:pPr>
            <w:r>
              <w:rPr>
                <w:sz w:val="17"/>
                <w:szCs w:val="17"/>
              </w:rPr>
              <w:t xml:space="preserve">3.189 </w:t>
            </w:r>
          </w:p>
        </w:tc>
        <w:tc>
          <w:tcPr>
            <w:tcW w:w="1134" w:type="dxa"/>
          </w:tcPr>
          <w:p w:rsidR="006F7C1A" w:rsidRDefault="006F7C1A" w:rsidP="006F7C1A">
            <w:pPr>
              <w:pStyle w:val="Default"/>
              <w:rPr>
                <w:sz w:val="17"/>
                <w:szCs w:val="17"/>
              </w:rPr>
            </w:pPr>
            <w:r>
              <w:rPr>
                <w:sz w:val="17"/>
                <w:szCs w:val="17"/>
              </w:rPr>
              <w:t xml:space="preserve">8.080.254 </w:t>
            </w:r>
          </w:p>
        </w:tc>
        <w:tc>
          <w:tcPr>
            <w:tcW w:w="850" w:type="dxa"/>
          </w:tcPr>
          <w:p w:rsidR="006F7C1A" w:rsidRDefault="006F7C1A" w:rsidP="006F7C1A">
            <w:pPr>
              <w:pStyle w:val="Default"/>
              <w:rPr>
                <w:sz w:val="17"/>
                <w:szCs w:val="17"/>
              </w:rPr>
            </w:pPr>
            <w:r>
              <w:rPr>
                <w:sz w:val="17"/>
                <w:szCs w:val="17"/>
              </w:rPr>
              <w:t xml:space="preserve">23.671 </w:t>
            </w:r>
          </w:p>
        </w:tc>
        <w:tc>
          <w:tcPr>
            <w:tcW w:w="992" w:type="dxa"/>
          </w:tcPr>
          <w:p w:rsidR="006F7C1A" w:rsidRDefault="006F7C1A" w:rsidP="006F7C1A">
            <w:pPr>
              <w:pStyle w:val="Default"/>
              <w:rPr>
                <w:sz w:val="17"/>
                <w:szCs w:val="17"/>
              </w:rPr>
            </w:pPr>
            <w:r>
              <w:rPr>
                <w:sz w:val="17"/>
                <w:szCs w:val="17"/>
              </w:rPr>
              <w:t xml:space="preserve">23.671 </w:t>
            </w:r>
          </w:p>
        </w:tc>
        <w:tc>
          <w:tcPr>
            <w:tcW w:w="1134" w:type="dxa"/>
          </w:tcPr>
          <w:p w:rsidR="006F7C1A" w:rsidRDefault="006F7C1A" w:rsidP="006F7C1A">
            <w:pPr>
              <w:pStyle w:val="Default"/>
              <w:rPr>
                <w:sz w:val="17"/>
                <w:szCs w:val="17"/>
              </w:rPr>
            </w:pPr>
            <w:r>
              <w:rPr>
                <w:sz w:val="17"/>
                <w:szCs w:val="17"/>
              </w:rPr>
              <w:t xml:space="preserve">28.547.812 </w:t>
            </w:r>
          </w:p>
        </w:tc>
        <w:tc>
          <w:tcPr>
            <w:tcW w:w="851" w:type="dxa"/>
          </w:tcPr>
          <w:p w:rsidR="006F7C1A" w:rsidRDefault="006F7C1A" w:rsidP="006F7C1A">
            <w:pPr>
              <w:pStyle w:val="Default"/>
              <w:rPr>
                <w:sz w:val="17"/>
                <w:szCs w:val="17"/>
              </w:rPr>
            </w:pPr>
            <w:r>
              <w:rPr>
                <w:sz w:val="17"/>
                <w:szCs w:val="17"/>
              </w:rPr>
              <w:t xml:space="preserve">13.402 </w:t>
            </w:r>
          </w:p>
        </w:tc>
        <w:tc>
          <w:tcPr>
            <w:tcW w:w="850" w:type="dxa"/>
          </w:tcPr>
          <w:p w:rsidR="006F7C1A" w:rsidRDefault="006F7C1A" w:rsidP="006F7C1A">
            <w:pPr>
              <w:pStyle w:val="Default"/>
              <w:rPr>
                <w:sz w:val="17"/>
                <w:szCs w:val="17"/>
              </w:rPr>
            </w:pPr>
            <w:r>
              <w:rPr>
                <w:sz w:val="17"/>
                <w:szCs w:val="17"/>
              </w:rPr>
              <w:t xml:space="preserve">13.402 </w:t>
            </w:r>
          </w:p>
        </w:tc>
        <w:tc>
          <w:tcPr>
            <w:tcW w:w="1134" w:type="dxa"/>
          </w:tcPr>
          <w:p w:rsidR="006F7C1A" w:rsidRDefault="006F7C1A" w:rsidP="006F7C1A">
            <w:pPr>
              <w:pStyle w:val="Default"/>
              <w:rPr>
                <w:sz w:val="17"/>
                <w:szCs w:val="17"/>
              </w:rPr>
            </w:pPr>
            <w:r>
              <w:rPr>
                <w:sz w:val="17"/>
                <w:szCs w:val="17"/>
              </w:rPr>
              <w:t xml:space="preserve">16.462.468 </w:t>
            </w:r>
          </w:p>
        </w:tc>
        <w:tc>
          <w:tcPr>
            <w:tcW w:w="1276" w:type="dxa"/>
          </w:tcPr>
          <w:p w:rsidR="006F7C1A" w:rsidRDefault="006F7C1A" w:rsidP="006F7C1A">
            <w:pPr>
              <w:pStyle w:val="Default"/>
              <w:rPr>
                <w:sz w:val="17"/>
                <w:szCs w:val="17"/>
              </w:rPr>
            </w:pPr>
            <w:r>
              <w:rPr>
                <w:b/>
                <w:bCs/>
                <w:sz w:val="17"/>
                <w:szCs w:val="17"/>
              </w:rPr>
              <w:t xml:space="preserve">114.271.699 </w:t>
            </w:r>
          </w:p>
        </w:tc>
        <w:tc>
          <w:tcPr>
            <w:tcW w:w="992" w:type="dxa"/>
          </w:tcPr>
          <w:p w:rsidR="006F7C1A" w:rsidRDefault="006F7C1A" w:rsidP="006F7C1A">
            <w:pPr>
              <w:pStyle w:val="Default"/>
              <w:rPr>
                <w:sz w:val="17"/>
                <w:szCs w:val="17"/>
              </w:rPr>
            </w:pPr>
            <w:r>
              <w:rPr>
                <w:b/>
                <w:bCs/>
                <w:sz w:val="17"/>
                <w:szCs w:val="17"/>
              </w:rPr>
              <w:t xml:space="preserve">9,513% </w:t>
            </w:r>
          </w:p>
        </w:tc>
      </w:tr>
      <w:tr w:rsidR="006F7C1A" w:rsidTr="006F7C1A">
        <w:trPr>
          <w:trHeight w:val="172"/>
        </w:trPr>
        <w:tc>
          <w:tcPr>
            <w:tcW w:w="1135" w:type="dxa"/>
          </w:tcPr>
          <w:p w:rsidR="006F7C1A" w:rsidRDefault="006F7C1A" w:rsidP="006F7C1A">
            <w:pPr>
              <w:pStyle w:val="Default"/>
              <w:rPr>
                <w:sz w:val="17"/>
                <w:szCs w:val="17"/>
              </w:rPr>
            </w:pPr>
            <w:r>
              <w:rPr>
                <w:sz w:val="17"/>
                <w:szCs w:val="17"/>
              </w:rPr>
              <w:t>Hercegova.-neretvanski</w:t>
            </w:r>
          </w:p>
        </w:tc>
        <w:tc>
          <w:tcPr>
            <w:tcW w:w="850" w:type="dxa"/>
          </w:tcPr>
          <w:p w:rsidR="006F7C1A" w:rsidRDefault="006F7C1A" w:rsidP="006F7C1A">
            <w:pPr>
              <w:pStyle w:val="Default"/>
              <w:rPr>
                <w:sz w:val="17"/>
                <w:szCs w:val="17"/>
              </w:rPr>
            </w:pPr>
            <w:r>
              <w:rPr>
                <w:sz w:val="17"/>
                <w:szCs w:val="17"/>
              </w:rPr>
              <w:t xml:space="preserve">224.388 </w:t>
            </w:r>
          </w:p>
        </w:tc>
        <w:tc>
          <w:tcPr>
            <w:tcW w:w="851" w:type="dxa"/>
          </w:tcPr>
          <w:p w:rsidR="006F7C1A" w:rsidRDefault="006F7C1A" w:rsidP="006F7C1A">
            <w:pPr>
              <w:pStyle w:val="Default"/>
              <w:rPr>
                <w:sz w:val="17"/>
                <w:szCs w:val="17"/>
              </w:rPr>
            </w:pPr>
            <w:r>
              <w:rPr>
                <w:sz w:val="17"/>
                <w:szCs w:val="17"/>
              </w:rPr>
              <w:t xml:space="preserve">224.388 </w:t>
            </w:r>
          </w:p>
        </w:tc>
        <w:tc>
          <w:tcPr>
            <w:tcW w:w="1134" w:type="dxa"/>
          </w:tcPr>
          <w:p w:rsidR="006F7C1A" w:rsidRDefault="006F7C1A" w:rsidP="006F7C1A">
            <w:pPr>
              <w:pStyle w:val="Default"/>
              <w:rPr>
                <w:sz w:val="17"/>
                <w:szCs w:val="17"/>
              </w:rPr>
            </w:pPr>
            <w:r>
              <w:rPr>
                <w:sz w:val="17"/>
                <w:szCs w:val="17"/>
              </w:rPr>
              <w:t xml:space="preserve">54.230.194 </w:t>
            </w:r>
          </w:p>
        </w:tc>
        <w:tc>
          <w:tcPr>
            <w:tcW w:w="850" w:type="dxa"/>
          </w:tcPr>
          <w:p w:rsidR="006F7C1A" w:rsidRDefault="006F7C1A" w:rsidP="006F7C1A">
            <w:pPr>
              <w:pStyle w:val="Default"/>
              <w:rPr>
                <w:sz w:val="17"/>
                <w:szCs w:val="17"/>
              </w:rPr>
            </w:pPr>
            <w:r>
              <w:rPr>
                <w:sz w:val="17"/>
                <w:szCs w:val="17"/>
              </w:rPr>
              <w:t xml:space="preserve">4.401,0 </w:t>
            </w:r>
          </w:p>
        </w:tc>
        <w:tc>
          <w:tcPr>
            <w:tcW w:w="851" w:type="dxa"/>
          </w:tcPr>
          <w:p w:rsidR="006F7C1A" w:rsidRDefault="006F7C1A" w:rsidP="006F7C1A">
            <w:pPr>
              <w:pStyle w:val="Default"/>
              <w:rPr>
                <w:sz w:val="17"/>
                <w:szCs w:val="17"/>
              </w:rPr>
            </w:pPr>
            <w:r>
              <w:rPr>
                <w:sz w:val="17"/>
                <w:szCs w:val="17"/>
              </w:rPr>
              <w:t xml:space="preserve">4.401 </w:t>
            </w:r>
          </w:p>
        </w:tc>
        <w:tc>
          <w:tcPr>
            <w:tcW w:w="1134" w:type="dxa"/>
          </w:tcPr>
          <w:p w:rsidR="006F7C1A" w:rsidRDefault="006F7C1A" w:rsidP="006F7C1A">
            <w:pPr>
              <w:pStyle w:val="Default"/>
              <w:rPr>
                <w:sz w:val="17"/>
                <w:szCs w:val="17"/>
              </w:rPr>
            </w:pPr>
            <w:r>
              <w:rPr>
                <w:sz w:val="17"/>
                <w:szCs w:val="17"/>
              </w:rPr>
              <w:t xml:space="preserve">11.151.206 </w:t>
            </w:r>
          </w:p>
        </w:tc>
        <w:tc>
          <w:tcPr>
            <w:tcW w:w="850" w:type="dxa"/>
          </w:tcPr>
          <w:p w:rsidR="006F7C1A" w:rsidRDefault="006F7C1A" w:rsidP="006F7C1A">
            <w:pPr>
              <w:pStyle w:val="Default"/>
              <w:rPr>
                <w:sz w:val="17"/>
                <w:szCs w:val="17"/>
              </w:rPr>
            </w:pPr>
            <w:r>
              <w:rPr>
                <w:sz w:val="17"/>
                <w:szCs w:val="17"/>
              </w:rPr>
              <w:t xml:space="preserve">18.283 </w:t>
            </w:r>
          </w:p>
        </w:tc>
        <w:tc>
          <w:tcPr>
            <w:tcW w:w="992" w:type="dxa"/>
          </w:tcPr>
          <w:p w:rsidR="006F7C1A" w:rsidRDefault="006F7C1A" w:rsidP="006F7C1A">
            <w:pPr>
              <w:pStyle w:val="Default"/>
              <w:rPr>
                <w:sz w:val="17"/>
                <w:szCs w:val="17"/>
              </w:rPr>
            </w:pPr>
            <w:r>
              <w:rPr>
                <w:sz w:val="17"/>
                <w:szCs w:val="17"/>
              </w:rPr>
              <w:t xml:space="preserve">18.283 </w:t>
            </w:r>
          </w:p>
        </w:tc>
        <w:tc>
          <w:tcPr>
            <w:tcW w:w="1134" w:type="dxa"/>
          </w:tcPr>
          <w:p w:rsidR="006F7C1A" w:rsidRDefault="006F7C1A" w:rsidP="006F7C1A">
            <w:pPr>
              <w:pStyle w:val="Default"/>
              <w:rPr>
                <w:sz w:val="17"/>
                <w:szCs w:val="17"/>
              </w:rPr>
            </w:pPr>
            <w:r>
              <w:rPr>
                <w:sz w:val="17"/>
                <w:szCs w:val="17"/>
              </w:rPr>
              <w:t xml:space="preserve">22.049.751 </w:t>
            </w:r>
          </w:p>
        </w:tc>
        <w:tc>
          <w:tcPr>
            <w:tcW w:w="851" w:type="dxa"/>
          </w:tcPr>
          <w:p w:rsidR="006F7C1A" w:rsidRDefault="006F7C1A" w:rsidP="006F7C1A">
            <w:pPr>
              <w:pStyle w:val="Default"/>
              <w:rPr>
                <w:sz w:val="17"/>
                <w:szCs w:val="17"/>
              </w:rPr>
            </w:pPr>
            <w:r>
              <w:rPr>
                <w:sz w:val="17"/>
                <w:szCs w:val="17"/>
              </w:rPr>
              <w:t xml:space="preserve">11.170 </w:t>
            </w:r>
          </w:p>
        </w:tc>
        <w:tc>
          <w:tcPr>
            <w:tcW w:w="850" w:type="dxa"/>
          </w:tcPr>
          <w:p w:rsidR="006F7C1A" w:rsidRDefault="006F7C1A" w:rsidP="006F7C1A">
            <w:pPr>
              <w:pStyle w:val="Default"/>
              <w:rPr>
                <w:sz w:val="17"/>
                <w:szCs w:val="17"/>
              </w:rPr>
            </w:pPr>
            <w:r>
              <w:rPr>
                <w:sz w:val="17"/>
                <w:szCs w:val="17"/>
              </w:rPr>
              <w:t xml:space="preserve">11.170 </w:t>
            </w:r>
          </w:p>
        </w:tc>
        <w:tc>
          <w:tcPr>
            <w:tcW w:w="1134" w:type="dxa"/>
          </w:tcPr>
          <w:p w:rsidR="006F7C1A" w:rsidRDefault="006F7C1A" w:rsidP="006F7C1A">
            <w:pPr>
              <w:pStyle w:val="Default"/>
              <w:rPr>
                <w:sz w:val="17"/>
                <w:szCs w:val="17"/>
              </w:rPr>
            </w:pPr>
            <w:r>
              <w:rPr>
                <w:sz w:val="17"/>
                <w:szCs w:val="17"/>
              </w:rPr>
              <w:t xml:space="preserve">13.720.771 </w:t>
            </w:r>
          </w:p>
        </w:tc>
        <w:tc>
          <w:tcPr>
            <w:tcW w:w="1276" w:type="dxa"/>
          </w:tcPr>
          <w:p w:rsidR="006F7C1A" w:rsidRDefault="006F7C1A" w:rsidP="006F7C1A">
            <w:pPr>
              <w:pStyle w:val="Default"/>
              <w:rPr>
                <w:sz w:val="17"/>
                <w:szCs w:val="17"/>
              </w:rPr>
            </w:pPr>
            <w:r>
              <w:rPr>
                <w:b/>
                <w:bCs/>
                <w:sz w:val="17"/>
                <w:szCs w:val="17"/>
              </w:rPr>
              <w:t xml:space="preserve">101.151.921 </w:t>
            </w:r>
          </w:p>
        </w:tc>
        <w:tc>
          <w:tcPr>
            <w:tcW w:w="992" w:type="dxa"/>
          </w:tcPr>
          <w:p w:rsidR="006F7C1A" w:rsidRDefault="006F7C1A" w:rsidP="006F7C1A">
            <w:pPr>
              <w:pStyle w:val="Default"/>
              <w:rPr>
                <w:sz w:val="17"/>
                <w:szCs w:val="17"/>
              </w:rPr>
            </w:pPr>
            <w:r>
              <w:rPr>
                <w:b/>
                <w:bCs/>
                <w:sz w:val="17"/>
                <w:szCs w:val="17"/>
              </w:rPr>
              <w:t xml:space="preserve">8,420% </w:t>
            </w:r>
          </w:p>
        </w:tc>
      </w:tr>
      <w:tr w:rsidR="006F7C1A" w:rsidTr="006F7C1A">
        <w:trPr>
          <w:trHeight w:val="174"/>
        </w:trPr>
        <w:tc>
          <w:tcPr>
            <w:tcW w:w="1135" w:type="dxa"/>
          </w:tcPr>
          <w:p w:rsidR="006F7C1A" w:rsidRDefault="006F7C1A" w:rsidP="006F7C1A">
            <w:pPr>
              <w:pStyle w:val="Default"/>
              <w:rPr>
                <w:sz w:val="17"/>
                <w:szCs w:val="17"/>
              </w:rPr>
            </w:pPr>
            <w:r>
              <w:rPr>
                <w:sz w:val="17"/>
                <w:szCs w:val="17"/>
              </w:rPr>
              <w:t>Zapadnohe-</w:t>
            </w:r>
          </w:p>
          <w:p w:rsidR="006F7C1A" w:rsidRDefault="006F7C1A" w:rsidP="006F7C1A">
            <w:pPr>
              <w:pStyle w:val="Default"/>
              <w:rPr>
                <w:sz w:val="17"/>
                <w:szCs w:val="17"/>
              </w:rPr>
            </w:pPr>
            <w:r>
              <w:rPr>
                <w:sz w:val="17"/>
                <w:szCs w:val="17"/>
              </w:rPr>
              <w:t>govački</w:t>
            </w:r>
          </w:p>
        </w:tc>
        <w:tc>
          <w:tcPr>
            <w:tcW w:w="850" w:type="dxa"/>
          </w:tcPr>
          <w:p w:rsidR="006F7C1A" w:rsidRDefault="006F7C1A" w:rsidP="006F7C1A">
            <w:pPr>
              <w:pStyle w:val="Default"/>
              <w:rPr>
                <w:sz w:val="17"/>
                <w:szCs w:val="17"/>
              </w:rPr>
            </w:pPr>
            <w:r>
              <w:rPr>
                <w:sz w:val="17"/>
                <w:szCs w:val="17"/>
              </w:rPr>
              <w:t xml:space="preserve">81.570 </w:t>
            </w:r>
          </w:p>
        </w:tc>
        <w:tc>
          <w:tcPr>
            <w:tcW w:w="851" w:type="dxa"/>
          </w:tcPr>
          <w:p w:rsidR="006F7C1A" w:rsidRDefault="006F7C1A" w:rsidP="006F7C1A">
            <w:pPr>
              <w:pStyle w:val="Default"/>
              <w:rPr>
                <w:sz w:val="17"/>
                <w:szCs w:val="17"/>
              </w:rPr>
            </w:pPr>
            <w:r>
              <w:rPr>
                <w:sz w:val="17"/>
                <w:szCs w:val="17"/>
              </w:rPr>
              <w:t xml:space="preserve">81.570 </w:t>
            </w:r>
          </w:p>
        </w:tc>
        <w:tc>
          <w:tcPr>
            <w:tcW w:w="1134" w:type="dxa"/>
          </w:tcPr>
          <w:p w:rsidR="006F7C1A" w:rsidRDefault="006F7C1A" w:rsidP="006F7C1A">
            <w:pPr>
              <w:pStyle w:val="Default"/>
              <w:rPr>
                <w:sz w:val="17"/>
                <w:szCs w:val="17"/>
              </w:rPr>
            </w:pPr>
            <w:r>
              <w:rPr>
                <w:sz w:val="17"/>
                <w:szCs w:val="17"/>
              </w:rPr>
              <w:t xml:space="preserve">19.713.875 </w:t>
            </w:r>
          </w:p>
        </w:tc>
        <w:tc>
          <w:tcPr>
            <w:tcW w:w="850" w:type="dxa"/>
          </w:tcPr>
          <w:p w:rsidR="006F7C1A" w:rsidRDefault="006F7C1A" w:rsidP="006F7C1A">
            <w:pPr>
              <w:pStyle w:val="Default"/>
              <w:rPr>
                <w:sz w:val="17"/>
                <w:szCs w:val="17"/>
              </w:rPr>
            </w:pPr>
            <w:r>
              <w:rPr>
                <w:sz w:val="17"/>
                <w:szCs w:val="17"/>
              </w:rPr>
              <w:t xml:space="preserve">1.362,2 </w:t>
            </w:r>
          </w:p>
        </w:tc>
        <w:tc>
          <w:tcPr>
            <w:tcW w:w="851" w:type="dxa"/>
          </w:tcPr>
          <w:p w:rsidR="006F7C1A" w:rsidRDefault="006F7C1A" w:rsidP="006F7C1A">
            <w:pPr>
              <w:pStyle w:val="Default"/>
              <w:rPr>
                <w:sz w:val="17"/>
                <w:szCs w:val="17"/>
              </w:rPr>
            </w:pPr>
            <w:r>
              <w:rPr>
                <w:sz w:val="17"/>
                <w:szCs w:val="17"/>
              </w:rPr>
              <w:t xml:space="preserve">1.362 </w:t>
            </w:r>
          </w:p>
        </w:tc>
        <w:tc>
          <w:tcPr>
            <w:tcW w:w="1134" w:type="dxa"/>
          </w:tcPr>
          <w:p w:rsidR="006F7C1A" w:rsidRDefault="006F7C1A" w:rsidP="006F7C1A">
            <w:pPr>
              <w:pStyle w:val="Default"/>
              <w:rPr>
                <w:sz w:val="17"/>
                <w:szCs w:val="17"/>
              </w:rPr>
            </w:pPr>
            <w:r>
              <w:rPr>
                <w:sz w:val="17"/>
                <w:szCs w:val="17"/>
              </w:rPr>
              <w:t xml:space="preserve">3.451.528 </w:t>
            </w:r>
          </w:p>
        </w:tc>
        <w:tc>
          <w:tcPr>
            <w:tcW w:w="850" w:type="dxa"/>
          </w:tcPr>
          <w:p w:rsidR="006F7C1A" w:rsidRDefault="006F7C1A" w:rsidP="006F7C1A">
            <w:pPr>
              <w:pStyle w:val="Default"/>
              <w:rPr>
                <w:sz w:val="17"/>
                <w:szCs w:val="17"/>
              </w:rPr>
            </w:pPr>
            <w:r>
              <w:rPr>
                <w:sz w:val="17"/>
                <w:szCs w:val="17"/>
              </w:rPr>
              <w:t xml:space="preserve">8.754 </w:t>
            </w:r>
          </w:p>
        </w:tc>
        <w:tc>
          <w:tcPr>
            <w:tcW w:w="992" w:type="dxa"/>
          </w:tcPr>
          <w:p w:rsidR="006F7C1A" w:rsidRDefault="006F7C1A" w:rsidP="006F7C1A">
            <w:pPr>
              <w:pStyle w:val="Default"/>
              <w:rPr>
                <w:sz w:val="17"/>
                <w:szCs w:val="17"/>
              </w:rPr>
            </w:pPr>
            <w:r>
              <w:rPr>
                <w:sz w:val="17"/>
                <w:szCs w:val="17"/>
              </w:rPr>
              <w:t xml:space="preserve">8.754 </w:t>
            </w:r>
          </w:p>
        </w:tc>
        <w:tc>
          <w:tcPr>
            <w:tcW w:w="1134" w:type="dxa"/>
          </w:tcPr>
          <w:p w:rsidR="006F7C1A" w:rsidRDefault="006F7C1A" w:rsidP="006F7C1A">
            <w:pPr>
              <w:pStyle w:val="Default"/>
              <w:rPr>
                <w:sz w:val="17"/>
                <w:szCs w:val="17"/>
              </w:rPr>
            </w:pPr>
            <w:r>
              <w:rPr>
                <w:sz w:val="17"/>
                <w:szCs w:val="17"/>
              </w:rPr>
              <w:t xml:space="preserve">10.557.541 </w:t>
            </w:r>
          </w:p>
        </w:tc>
        <w:tc>
          <w:tcPr>
            <w:tcW w:w="851" w:type="dxa"/>
          </w:tcPr>
          <w:p w:rsidR="006F7C1A" w:rsidRDefault="006F7C1A" w:rsidP="006F7C1A">
            <w:pPr>
              <w:pStyle w:val="Default"/>
              <w:rPr>
                <w:sz w:val="17"/>
                <w:szCs w:val="17"/>
              </w:rPr>
            </w:pPr>
            <w:r>
              <w:rPr>
                <w:sz w:val="17"/>
                <w:szCs w:val="17"/>
              </w:rPr>
              <w:t xml:space="preserve">4.494 </w:t>
            </w:r>
          </w:p>
        </w:tc>
        <w:tc>
          <w:tcPr>
            <w:tcW w:w="850" w:type="dxa"/>
          </w:tcPr>
          <w:p w:rsidR="006F7C1A" w:rsidRDefault="006F7C1A" w:rsidP="006F7C1A">
            <w:pPr>
              <w:pStyle w:val="Default"/>
              <w:rPr>
                <w:sz w:val="17"/>
                <w:szCs w:val="17"/>
              </w:rPr>
            </w:pPr>
            <w:r>
              <w:rPr>
                <w:sz w:val="17"/>
                <w:szCs w:val="17"/>
              </w:rPr>
              <w:t xml:space="preserve">4.494 </w:t>
            </w:r>
          </w:p>
        </w:tc>
        <w:tc>
          <w:tcPr>
            <w:tcW w:w="1134" w:type="dxa"/>
          </w:tcPr>
          <w:p w:rsidR="006F7C1A" w:rsidRDefault="006F7C1A" w:rsidP="006F7C1A">
            <w:pPr>
              <w:pStyle w:val="Default"/>
              <w:rPr>
                <w:sz w:val="17"/>
                <w:szCs w:val="17"/>
              </w:rPr>
            </w:pPr>
            <w:r>
              <w:rPr>
                <w:sz w:val="17"/>
                <w:szCs w:val="17"/>
              </w:rPr>
              <w:t xml:space="preserve">5.520.246 </w:t>
            </w:r>
          </w:p>
        </w:tc>
        <w:tc>
          <w:tcPr>
            <w:tcW w:w="1276" w:type="dxa"/>
          </w:tcPr>
          <w:p w:rsidR="006F7C1A" w:rsidRDefault="006F7C1A" w:rsidP="006F7C1A">
            <w:pPr>
              <w:pStyle w:val="Default"/>
              <w:rPr>
                <w:sz w:val="17"/>
                <w:szCs w:val="17"/>
              </w:rPr>
            </w:pPr>
            <w:r>
              <w:rPr>
                <w:b/>
                <w:bCs/>
                <w:sz w:val="17"/>
                <w:szCs w:val="17"/>
              </w:rPr>
              <w:t xml:space="preserve">39.243.189 </w:t>
            </w:r>
          </w:p>
        </w:tc>
        <w:tc>
          <w:tcPr>
            <w:tcW w:w="992" w:type="dxa"/>
          </w:tcPr>
          <w:p w:rsidR="006F7C1A" w:rsidRDefault="006F7C1A" w:rsidP="006F7C1A">
            <w:pPr>
              <w:pStyle w:val="Default"/>
              <w:rPr>
                <w:sz w:val="17"/>
                <w:szCs w:val="17"/>
              </w:rPr>
            </w:pPr>
            <w:r>
              <w:rPr>
                <w:b/>
                <w:bCs/>
                <w:sz w:val="17"/>
                <w:szCs w:val="17"/>
              </w:rPr>
              <w:t xml:space="preserve">3,267% </w:t>
            </w:r>
          </w:p>
        </w:tc>
      </w:tr>
      <w:tr w:rsidR="006F7C1A" w:rsidTr="006F7C1A">
        <w:trPr>
          <w:trHeight w:val="78"/>
        </w:trPr>
        <w:tc>
          <w:tcPr>
            <w:tcW w:w="1135" w:type="dxa"/>
          </w:tcPr>
          <w:p w:rsidR="006F7C1A" w:rsidRPr="00B466A5" w:rsidRDefault="006F7C1A" w:rsidP="006F7C1A">
            <w:pPr>
              <w:pStyle w:val="Default"/>
              <w:rPr>
                <w:sz w:val="17"/>
                <w:szCs w:val="17"/>
              </w:rPr>
            </w:pPr>
            <w:r w:rsidRPr="00B466A5">
              <w:rPr>
                <w:bCs/>
                <w:sz w:val="17"/>
                <w:szCs w:val="17"/>
              </w:rPr>
              <w:t xml:space="preserve">Kanton Sarajevo </w:t>
            </w:r>
          </w:p>
        </w:tc>
        <w:tc>
          <w:tcPr>
            <w:tcW w:w="850" w:type="dxa"/>
          </w:tcPr>
          <w:p w:rsidR="006F7C1A" w:rsidRDefault="006F7C1A" w:rsidP="006F7C1A">
            <w:pPr>
              <w:pStyle w:val="Default"/>
              <w:rPr>
                <w:sz w:val="17"/>
                <w:szCs w:val="17"/>
              </w:rPr>
            </w:pPr>
            <w:r>
              <w:rPr>
                <w:sz w:val="17"/>
                <w:szCs w:val="17"/>
              </w:rPr>
              <w:t xml:space="preserve">442.669 </w:t>
            </w:r>
          </w:p>
        </w:tc>
        <w:tc>
          <w:tcPr>
            <w:tcW w:w="851" w:type="dxa"/>
          </w:tcPr>
          <w:p w:rsidR="006F7C1A" w:rsidRDefault="006F7C1A" w:rsidP="006F7C1A">
            <w:pPr>
              <w:pStyle w:val="Default"/>
              <w:rPr>
                <w:sz w:val="17"/>
                <w:szCs w:val="17"/>
              </w:rPr>
            </w:pPr>
            <w:r>
              <w:rPr>
                <w:sz w:val="17"/>
                <w:szCs w:val="17"/>
              </w:rPr>
              <w:t xml:space="preserve">885.338 </w:t>
            </w:r>
          </w:p>
        </w:tc>
        <w:tc>
          <w:tcPr>
            <w:tcW w:w="1134" w:type="dxa"/>
          </w:tcPr>
          <w:p w:rsidR="006F7C1A" w:rsidRDefault="006F7C1A" w:rsidP="006F7C1A">
            <w:pPr>
              <w:pStyle w:val="Default"/>
              <w:rPr>
                <w:sz w:val="17"/>
                <w:szCs w:val="17"/>
              </w:rPr>
            </w:pPr>
            <w:r>
              <w:rPr>
                <w:sz w:val="17"/>
                <w:szCs w:val="17"/>
              </w:rPr>
              <w:t xml:space="preserve">213.968.890 </w:t>
            </w:r>
          </w:p>
        </w:tc>
        <w:tc>
          <w:tcPr>
            <w:tcW w:w="850" w:type="dxa"/>
          </w:tcPr>
          <w:p w:rsidR="006F7C1A" w:rsidRDefault="006F7C1A" w:rsidP="006F7C1A">
            <w:pPr>
              <w:pStyle w:val="Default"/>
              <w:rPr>
                <w:sz w:val="17"/>
                <w:szCs w:val="17"/>
              </w:rPr>
            </w:pPr>
            <w:r>
              <w:rPr>
                <w:sz w:val="17"/>
                <w:szCs w:val="17"/>
              </w:rPr>
              <w:t xml:space="preserve">1.276,9 </w:t>
            </w:r>
          </w:p>
        </w:tc>
        <w:tc>
          <w:tcPr>
            <w:tcW w:w="851" w:type="dxa"/>
          </w:tcPr>
          <w:p w:rsidR="006F7C1A" w:rsidRDefault="006F7C1A" w:rsidP="006F7C1A">
            <w:pPr>
              <w:pStyle w:val="Default"/>
              <w:rPr>
                <w:sz w:val="17"/>
                <w:szCs w:val="17"/>
              </w:rPr>
            </w:pPr>
            <w:r>
              <w:rPr>
                <w:sz w:val="17"/>
                <w:szCs w:val="17"/>
              </w:rPr>
              <w:t xml:space="preserve">2.554 </w:t>
            </w:r>
          </w:p>
        </w:tc>
        <w:tc>
          <w:tcPr>
            <w:tcW w:w="1134" w:type="dxa"/>
          </w:tcPr>
          <w:p w:rsidR="006F7C1A" w:rsidRDefault="006F7C1A" w:rsidP="006F7C1A">
            <w:pPr>
              <w:pStyle w:val="Default"/>
              <w:rPr>
                <w:sz w:val="17"/>
                <w:szCs w:val="17"/>
              </w:rPr>
            </w:pPr>
            <w:r>
              <w:rPr>
                <w:sz w:val="17"/>
                <w:szCs w:val="17"/>
              </w:rPr>
              <w:t xml:space="preserve">6.470.791 </w:t>
            </w:r>
          </w:p>
        </w:tc>
        <w:tc>
          <w:tcPr>
            <w:tcW w:w="850" w:type="dxa"/>
          </w:tcPr>
          <w:p w:rsidR="006F7C1A" w:rsidRDefault="006F7C1A" w:rsidP="006F7C1A">
            <w:pPr>
              <w:pStyle w:val="Default"/>
              <w:rPr>
                <w:sz w:val="17"/>
                <w:szCs w:val="17"/>
              </w:rPr>
            </w:pPr>
            <w:r>
              <w:rPr>
                <w:sz w:val="17"/>
                <w:szCs w:val="17"/>
              </w:rPr>
              <w:t xml:space="preserve">36.483 </w:t>
            </w:r>
          </w:p>
        </w:tc>
        <w:tc>
          <w:tcPr>
            <w:tcW w:w="992" w:type="dxa"/>
          </w:tcPr>
          <w:p w:rsidR="006F7C1A" w:rsidRDefault="006F7C1A" w:rsidP="006F7C1A">
            <w:pPr>
              <w:pStyle w:val="Default"/>
              <w:rPr>
                <w:sz w:val="17"/>
                <w:szCs w:val="17"/>
              </w:rPr>
            </w:pPr>
            <w:r>
              <w:rPr>
                <w:sz w:val="17"/>
                <w:szCs w:val="17"/>
              </w:rPr>
              <w:t xml:space="preserve">72.966 </w:t>
            </w:r>
          </w:p>
        </w:tc>
        <w:tc>
          <w:tcPr>
            <w:tcW w:w="1134" w:type="dxa"/>
          </w:tcPr>
          <w:p w:rsidR="006F7C1A" w:rsidRDefault="006F7C1A" w:rsidP="006F7C1A">
            <w:pPr>
              <w:pStyle w:val="Default"/>
              <w:rPr>
                <w:sz w:val="17"/>
                <w:szCs w:val="17"/>
              </w:rPr>
            </w:pPr>
            <w:r>
              <w:rPr>
                <w:sz w:val="17"/>
                <w:szCs w:val="17"/>
              </w:rPr>
              <w:t xml:space="preserve">87.998.803 </w:t>
            </w:r>
          </w:p>
        </w:tc>
        <w:tc>
          <w:tcPr>
            <w:tcW w:w="851" w:type="dxa"/>
          </w:tcPr>
          <w:p w:rsidR="006F7C1A" w:rsidRDefault="006F7C1A" w:rsidP="006F7C1A">
            <w:pPr>
              <w:pStyle w:val="Default"/>
              <w:rPr>
                <w:sz w:val="17"/>
                <w:szCs w:val="17"/>
              </w:rPr>
            </w:pPr>
            <w:r>
              <w:rPr>
                <w:sz w:val="17"/>
                <w:szCs w:val="17"/>
              </w:rPr>
              <w:t xml:space="preserve">18.966 </w:t>
            </w:r>
          </w:p>
        </w:tc>
        <w:tc>
          <w:tcPr>
            <w:tcW w:w="850" w:type="dxa"/>
          </w:tcPr>
          <w:p w:rsidR="006F7C1A" w:rsidRDefault="006F7C1A" w:rsidP="006F7C1A">
            <w:pPr>
              <w:pStyle w:val="Default"/>
              <w:rPr>
                <w:sz w:val="17"/>
                <w:szCs w:val="17"/>
              </w:rPr>
            </w:pPr>
            <w:r>
              <w:rPr>
                <w:sz w:val="17"/>
                <w:szCs w:val="17"/>
              </w:rPr>
              <w:t xml:space="preserve">37.932 </w:t>
            </w:r>
          </w:p>
        </w:tc>
        <w:tc>
          <w:tcPr>
            <w:tcW w:w="1134" w:type="dxa"/>
          </w:tcPr>
          <w:p w:rsidR="006F7C1A" w:rsidRDefault="006F7C1A" w:rsidP="006F7C1A">
            <w:pPr>
              <w:pStyle w:val="Default"/>
              <w:rPr>
                <w:sz w:val="17"/>
                <w:szCs w:val="17"/>
              </w:rPr>
            </w:pPr>
            <w:r>
              <w:rPr>
                <w:sz w:val="17"/>
                <w:szCs w:val="17"/>
              </w:rPr>
              <w:t xml:space="preserve">46.594.115 </w:t>
            </w:r>
          </w:p>
        </w:tc>
        <w:tc>
          <w:tcPr>
            <w:tcW w:w="1276" w:type="dxa"/>
          </w:tcPr>
          <w:p w:rsidR="006F7C1A" w:rsidRDefault="006F7C1A" w:rsidP="006F7C1A">
            <w:pPr>
              <w:pStyle w:val="Default"/>
              <w:rPr>
                <w:sz w:val="17"/>
                <w:szCs w:val="17"/>
              </w:rPr>
            </w:pPr>
            <w:r>
              <w:rPr>
                <w:b/>
                <w:bCs/>
                <w:sz w:val="17"/>
                <w:szCs w:val="17"/>
              </w:rPr>
              <w:t xml:space="preserve">355.032.599 </w:t>
            </w:r>
          </w:p>
        </w:tc>
        <w:tc>
          <w:tcPr>
            <w:tcW w:w="992" w:type="dxa"/>
          </w:tcPr>
          <w:p w:rsidR="006F7C1A" w:rsidRDefault="006F7C1A" w:rsidP="006F7C1A">
            <w:pPr>
              <w:pStyle w:val="Default"/>
              <w:rPr>
                <w:sz w:val="17"/>
                <w:szCs w:val="17"/>
              </w:rPr>
            </w:pPr>
            <w:r>
              <w:rPr>
                <w:b/>
                <w:bCs/>
                <w:sz w:val="17"/>
                <w:szCs w:val="17"/>
              </w:rPr>
              <w:t xml:space="preserve">29,555% </w:t>
            </w:r>
          </w:p>
        </w:tc>
      </w:tr>
      <w:tr w:rsidR="006F7C1A" w:rsidTr="006F7C1A">
        <w:trPr>
          <w:trHeight w:val="78"/>
        </w:trPr>
        <w:tc>
          <w:tcPr>
            <w:tcW w:w="1135" w:type="dxa"/>
          </w:tcPr>
          <w:p w:rsidR="006F7C1A" w:rsidRDefault="006F7C1A" w:rsidP="006F7C1A">
            <w:pPr>
              <w:pStyle w:val="Default"/>
              <w:rPr>
                <w:sz w:val="17"/>
                <w:szCs w:val="17"/>
              </w:rPr>
            </w:pPr>
            <w:r>
              <w:rPr>
                <w:sz w:val="17"/>
                <w:szCs w:val="17"/>
              </w:rPr>
              <w:t xml:space="preserve">Kanton 10 </w:t>
            </w:r>
          </w:p>
        </w:tc>
        <w:tc>
          <w:tcPr>
            <w:tcW w:w="850" w:type="dxa"/>
          </w:tcPr>
          <w:p w:rsidR="006F7C1A" w:rsidRDefault="006F7C1A" w:rsidP="006F7C1A">
            <w:pPr>
              <w:pStyle w:val="Default"/>
              <w:rPr>
                <w:sz w:val="17"/>
                <w:szCs w:val="17"/>
              </w:rPr>
            </w:pPr>
            <w:r>
              <w:rPr>
                <w:sz w:val="17"/>
                <w:szCs w:val="17"/>
              </w:rPr>
              <w:t xml:space="preserve">78.849 </w:t>
            </w:r>
          </w:p>
        </w:tc>
        <w:tc>
          <w:tcPr>
            <w:tcW w:w="851" w:type="dxa"/>
          </w:tcPr>
          <w:p w:rsidR="006F7C1A" w:rsidRDefault="006F7C1A" w:rsidP="006F7C1A">
            <w:pPr>
              <w:pStyle w:val="Default"/>
              <w:rPr>
                <w:sz w:val="17"/>
                <w:szCs w:val="17"/>
              </w:rPr>
            </w:pPr>
            <w:r>
              <w:rPr>
                <w:sz w:val="17"/>
                <w:szCs w:val="17"/>
              </w:rPr>
              <w:t xml:space="preserve">86.734 </w:t>
            </w:r>
          </w:p>
        </w:tc>
        <w:tc>
          <w:tcPr>
            <w:tcW w:w="1134" w:type="dxa"/>
          </w:tcPr>
          <w:p w:rsidR="006F7C1A" w:rsidRDefault="006F7C1A" w:rsidP="006F7C1A">
            <w:pPr>
              <w:pStyle w:val="Default"/>
              <w:rPr>
                <w:sz w:val="17"/>
                <w:szCs w:val="17"/>
              </w:rPr>
            </w:pPr>
            <w:r>
              <w:rPr>
                <w:sz w:val="17"/>
                <w:szCs w:val="17"/>
              </w:rPr>
              <w:t xml:space="preserve">20.961.888 </w:t>
            </w:r>
          </w:p>
        </w:tc>
        <w:tc>
          <w:tcPr>
            <w:tcW w:w="850" w:type="dxa"/>
          </w:tcPr>
          <w:p w:rsidR="006F7C1A" w:rsidRDefault="006F7C1A" w:rsidP="006F7C1A">
            <w:pPr>
              <w:pStyle w:val="Default"/>
              <w:rPr>
                <w:sz w:val="17"/>
                <w:szCs w:val="17"/>
              </w:rPr>
            </w:pPr>
            <w:r>
              <w:rPr>
                <w:sz w:val="17"/>
                <w:szCs w:val="17"/>
              </w:rPr>
              <w:t xml:space="preserve">4.934,1 </w:t>
            </w:r>
          </w:p>
        </w:tc>
        <w:tc>
          <w:tcPr>
            <w:tcW w:w="851" w:type="dxa"/>
          </w:tcPr>
          <w:p w:rsidR="006F7C1A" w:rsidRDefault="006F7C1A" w:rsidP="006F7C1A">
            <w:pPr>
              <w:pStyle w:val="Default"/>
              <w:rPr>
                <w:sz w:val="17"/>
                <w:szCs w:val="17"/>
              </w:rPr>
            </w:pPr>
            <w:r>
              <w:rPr>
                <w:sz w:val="17"/>
                <w:szCs w:val="17"/>
              </w:rPr>
              <w:t xml:space="preserve">5.428 </w:t>
            </w:r>
          </w:p>
        </w:tc>
        <w:tc>
          <w:tcPr>
            <w:tcW w:w="1134" w:type="dxa"/>
          </w:tcPr>
          <w:p w:rsidR="006F7C1A" w:rsidRDefault="006F7C1A" w:rsidP="006F7C1A">
            <w:pPr>
              <w:pStyle w:val="Default"/>
              <w:rPr>
                <w:sz w:val="17"/>
                <w:szCs w:val="17"/>
              </w:rPr>
            </w:pPr>
            <w:r>
              <w:rPr>
                <w:sz w:val="17"/>
                <w:szCs w:val="17"/>
              </w:rPr>
              <w:t xml:space="preserve">13.752.166 </w:t>
            </w:r>
          </w:p>
        </w:tc>
        <w:tc>
          <w:tcPr>
            <w:tcW w:w="850" w:type="dxa"/>
          </w:tcPr>
          <w:p w:rsidR="006F7C1A" w:rsidRDefault="006F7C1A" w:rsidP="006F7C1A">
            <w:pPr>
              <w:pStyle w:val="Default"/>
              <w:rPr>
                <w:sz w:val="17"/>
                <w:szCs w:val="17"/>
              </w:rPr>
            </w:pPr>
            <w:r>
              <w:rPr>
                <w:sz w:val="17"/>
                <w:szCs w:val="17"/>
              </w:rPr>
              <w:t xml:space="preserve">5.513 </w:t>
            </w:r>
          </w:p>
        </w:tc>
        <w:tc>
          <w:tcPr>
            <w:tcW w:w="992" w:type="dxa"/>
          </w:tcPr>
          <w:p w:rsidR="006F7C1A" w:rsidRDefault="006F7C1A" w:rsidP="006F7C1A">
            <w:pPr>
              <w:pStyle w:val="Default"/>
              <w:rPr>
                <w:sz w:val="17"/>
                <w:szCs w:val="17"/>
              </w:rPr>
            </w:pPr>
            <w:r>
              <w:rPr>
                <w:sz w:val="17"/>
                <w:szCs w:val="17"/>
              </w:rPr>
              <w:t xml:space="preserve">6.064 </w:t>
            </w:r>
          </w:p>
        </w:tc>
        <w:tc>
          <w:tcPr>
            <w:tcW w:w="1134" w:type="dxa"/>
          </w:tcPr>
          <w:p w:rsidR="006F7C1A" w:rsidRDefault="006F7C1A" w:rsidP="006F7C1A">
            <w:pPr>
              <w:pStyle w:val="Default"/>
              <w:rPr>
                <w:sz w:val="17"/>
                <w:szCs w:val="17"/>
              </w:rPr>
            </w:pPr>
            <w:r>
              <w:rPr>
                <w:sz w:val="17"/>
                <w:szCs w:val="17"/>
              </w:rPr>
              <w:t xml:space="preserve">7.313.696 </w:t>
            </w:r>
          </w:p>
        </w:tc>
        <w:tc>
          <w:tcPr>
            <w:tcW w:w="851" w:type="dxa"/>
          </w:tcPr>
          <w:p w:rsidR="006F7C1A" w:rsidRDefault="006F7C1A" w:rsidP="006F7C1A">
            <w:pPr>
              <w:pStyle w:val="Default"/>
              <w:rPr>
                <w:sz w:val="17"/>
                <w:szCs w:val="17"/>
              </w:rPr>
            </w:pPr>
            <w:r>
              <w:rPr>
                <w:sz w:val="17"/>
                <w:szCs w:val="17"/>
              </w:rPr>
              <w:t xml:space="preserve">2.824 </w:t>
            </w:r>
          </w:p>
        </w:tc>
        <w:tc>
          <w:tcPr>
            <w:tcW w:w="850" w:type="dxa"/>
          </w:tcPr>
          <w:p w:rsidR="006F7C1A" w:rsidRDefault="006F7C1A" w:rsidP="006F7C1A">
            <w:pPr>
              <w:pStyle w:val="Default"/>
              <w:rPr>
                <w:sz w:val="17"/>
                <w:szCs w:val="17"/>
              </w:rPr>
            </w:pPr>
            <w:r>
              <w:rPr>
                <w:sz w:val="17"/>
                <w:szCs w:val="17"/>
              </w:rPr>
              <w:t xml:space="preserve">3.106 </w:t>
            </w:r>
          </w:p>
        </w:tc>
        <w:tc>
          <w:tcPr>
            <w:tcW w:w="1134" w:type="dxa"/>
          </w:tcPr>
          <w:p w:rsidR="006F7C1A" w:rsidRDefault="006F7C1A" w:rsidP="006F7C1A">
            <w:pPr>
              <w:pStyle w:val="Default"/>
              <w:rPr>
                <w:sz w:val="17"/>
                <w:szCs w:val="17"/>
              </w:rPr>
            </w:pPr>
            <w:r>
              <w:rPr>
                <w:sz w:val="17"/>
                <w:szCs w:val="17"/>
              </w:rPr>
              <w:t xml:space="preserve">3.815.775 </w:t>
            </w:r>
          </w:p>
        </w:tc>
        <w:tc>
          <w:tcPr>
            <w:tcW w:w="1276" w:type="dxa"/>
          </w:tcPr>
          <w:p w:rsidR="006F7C1A" w:rsidRDefault="006F7C1A" w:rsidP="006F7C1A">
            <w:pPr>
              <w:pStyle w:val="Default"/>
              <w:rPr>
                <w:sz w:val="17"/>
                <w:szCs w:val="17"/>
              </w:rPr>
            </w:pPr>
            <w:r>
              <w:rPr>
                <w:b/>
                <w:bCs/>
                <w:sz w:val="17"/>
                <w:szCs w:val="17"/>
              </w:rPr>
              <w:t xml:space="preserve">45.843.525 </w:t>
            </w:r>
          </w:p>
        </w:tc>
        <w:tc>
          <w:tcPr>
            <w:tcW w:w="992" w:type="dxa"/>
          </w:tcPr>
          <w:p w:rsidR="006F7C1A" w:rsidRDefault="006F7C1A" w:rsidP="006F7C1A">
            <w:pPr>
              <w:pStyle w:val="Default"/>
              <w:rPr>
                <w:sz w:val="17"/>
                <w:szCs w:val="17"/>
              </w:rPr>
            </w:pPr>
            <w:r>
              <w:rPr>
                <w:b/>
                <w:bCs/>
                <w:sz w:val="17"/>
                <w:szCs w:val="17"/>
              </w:rPr>
              <w:t xml:space="preserve">3,816% </w:t>
            </w:r>
          </w:p>
        </w:tc>
      </w:tr>
      <w:tr w:rsidR="006F7C1A" w:rsidTr="006F7C1A">
        <w:trPr>
          <w:trHeight w:val="174"/>
        </w:trPr>
        <w:tc>
          <w:tcPr>
            <w:tcW w:w="1135" w:type="dxa"/>
          </w:tcPr>
          <w:p w:rsidR="006F7C1A" w:rsidRDefault="006F7C1A" w:rsidP="006F7C1A">
            <w:pPr>
              <w:pStyle w:val="Default"/>
              <w:rPr>
                <w:sz w:val="17"/>
                <w:szCs w:val="17"/>
              </w:rPr>
            </w:pPr>
            <w:r>
              <w:rPr>
                <w:b/>
                <w:bCs/>
                <w:sz w:val="17"/>
                <w:szCs w:val="17"/>
              </w:rPr>
              <w:t xml:space="preserve">UKUPNO </w:t>
            </w:r>
          </w:p>
        </w:tc>
        <w:tc>
          <w:tcPr>
            <w:tcW w:w="850" w:type="dxa"/>
          </w:tcPr>
          <w:p w:rsidR="006F7C1A" w:rsidRDefault="006F7C1A" w:rsidP="006F7C1A">
            <w:pPr>
              <w:pStyle w:val="Default"/>
              <w:rPr>
                <w:sz w:val="17"/>
                <w:szCs w:val="17"/>
              </w:rPr>
            </w:pPr>
            <w:r>
              <w:rPr>
                <w:sz w:val="17"/>
                <w:szCs w:val="17"/>
              </w:rPr>
              <w:t xml:space="preserve">2.337.200 </w:t>
            </w:r>
          </w:p>
        </w:tc>
        <w:tc>
          <w:tcPr>
            <w:tcW w:w="851" w:type="dxa"/>
          </w:tcPr>
          <w:p w:rsidR="006F7C1A" w:rsidRDefault="006F7C1A" w:rsidP="006F7C1A">
            <w:pPr>
              <w:pStyle w:val="Default"/>
              <w:rPr>
                <w:sz w:val="17"/>
                <w:szCs w:val="17"/>
              </w:rPr>
            </w:pPr>
            <w:r>
              <w:rPr>
                <w:sz w:val="17"/>
                <w:szCs w:val="17"/>
              </w:rPr>
              <w:t xml:space="preserve">2.833.176 </w:t>
            </w:r>
          </w:p>
        </w:tc>
        <w:tc>
          <w:tcPr>
            <w:tcW w:w="1134" w:type="dxa"/>
          </w:tcPr>
          <w:p w:rsidR="006F7C1A" w:rsidRDefault="006F7C1A" w:rsidP="006F7C1A">
            <w:pPr>
              <w:pStyle w:val="Default"/>
              <w:rPr>
                <w:sz w:val="17"/>
                <w:szCs w:val="17"/>
              </w:rPr>
            </w:pPr>
            <w:r>
              <w:rPr>
                <w:sz w:val="17"/>
                <w:szCs w:val="17"/>
              </w:rPr>
              <w:t xml:space="preserve">684.723.335 </w:t>
            </w:r>
          </w:p>
        </w:tc>
        <w:tc>
          <w:tcPr>
            <w:tcW w:w="850" w:type="dxa"/>
          </w:tcPr>
          <w:p w:rsidR="006F7C1A" w:rsidRDefault="006F7C1A" w:rsidP="006F7C1A">
            <w:pPr>
              <w:pStyle w:val="Default"/>
              <w:rPr>
                <w:sz w:val="17"/>
                <w:szCs w:val="17"/>
              </w:rPr>
            </w:pPr>
            <w:r>
              <w:rPr>
                <w:sz w:val="17"/>
                <w:szCs w:val="17"/>
              </w:rPr>
              <w:t xml:space="preserve">26.109,7 </w:t>
            </w:r>
          </w:p>
        </w:tc>
        <w:tc>
          <w:tcPr>
            <w:tcW w:w="851" w:type="dxa"/>
          </w:tcPr>
          <w:p w:rsidR="006F7C1A" w:rsidRDefault="006F7C1A" w:rsidP="006F7C1A">
            <w:pPr>
              <w:pStyle w:val="Default"/>
              <w:rPr>
                <w:sz w:val="17"/>
                <w:szCs w:val="17"/>
              </w:rPr>
            </w:pPr>
            <w:r>
              <w:rPr>
                <w:sz w:val="17"/>
                <w:szCs w:val="17"/>
              </w:rPr>
              <w:t xml:space="preserve">28.446 </w:t>
            </w:r>
          </w:p>
        </w:tc>
        <w:tc>
          <w:tcPr>
            <w:tcW w:w="1134" w:type="dxa"/>
          </w:tcPr>
          <w:p w:rsidR="006F7C1A" w:rsidRDefault="006F7C1A" w:rsidP="006F7C1A">
            <w:pPr>
              <w:pStyle w:val="Default"/>
              <w:rPr>
                <w:sz w:val="17"/>
                <w:szCs w:val="17"/>
              </w:rPr>
            </w:pPr>
            <w:r>
              <w:rPr>
                <w:sz w:val="17"/>
                <w:szCs w:val="17"/>
              </w:rPr>
              <w:t xml:space="preserve">72.076.141 </w:t>
            </w:r>
          </w:p>
        </w:tc>
        <w:tc>
          <w:tcPr>
            <w:tcW w:w="850" w:type="dxa"/>
          </w:tcPr>
          <w:p w:rsidR="006F7C1A" w:rsidRDefault="006F7C1A" w:rsidP="006F7C1A">
            <w:pPr>
              <w:pStyle w:val="Default"/>
              <w:rPr>
                <w:sz w:val="17"/>
                <w:szCs w:val="17"/>
              </w:rPr>
            </w:pPr>
            <w:r>
              <w:rPr>
                <w:sz w:val="17"/>
                <w:szCs w:val="17"/>
              </w:rPr>
              <w:t xml:space="preserve">198.840 </w:t>
            </w:r>
          </w:p>
        </w:tc>
        <w:tc>
          <w:tcPr>
            <w:tcW w:w="992" w:type="dxa"/>
          </w:tcPr>
          <w:p w:rsidR="006F7C1A" w:rsidRDefault="006F7C1A" w:rsidP="006F7C1A">
            <w:pPr>
              <w:pStyle w:val="Default"/>
              <w:rPr>
                <w:sz w:val="17"/>
                <w:szCs w:val="17"/>
              </w:rPr>
            </w:pPr>
            <w:r>
              <w:rPr>
                <w:sz w:val="17"/>
                <w:szCs w:val="17"/>
              </w:rPr>
              <w:t xml:space="preserve">239.054 </w:t>
            </w:r>
          </w:p>
        </w:tc>
        <w:tc>
          <w:tcPr>
            <w:tcW w:w="1134" w:type="dxa"/>
          </w:tcPr>
          <w:p w:rsidR="006F7C1A" w:rsidRDefault="006F7C1A" w:rsidP="006F7C1A">
            <w:pPr>
              <w:pStyle w:val="Default"/>
              <w:rPr>
                <w:sz w:val="17"/>
                <w:szCs w:val="17"/>
              </w:rPr>
            </w:pPr>
            <w:r>
              <w:rPr>
                <w:sz w:val="17"/>
                <w:szCs w:val="17"/>
              </w:rPr>
              <w:t xml:space="preserve">288.304.562 </w:t>
            </w:r>
          </w:p>
        </w:tc>
        <w:tc>
          <w:tcPr>
            <w:tcW w:w="851" w:type="dxa"/>
          </w:tcPr>
          <w:p w:rsidR="006F7C1A" w:rsidRDefault="006F7C1A" w:rsidP="006F7C1A">
            <w:pPr>
              <w:pStyle w:val="Default"/>
              <w:rPr>
                <w:sz w:val="17"/>
                <w:szCs w:val="17"/>
              </w:rPr>
            </w:pPr>
            <w:r>
              <w:rPr>
                <w:sz w:val="17"/>
                <w:szCs w:val="17"/>
              </w:rPr>
              <w:t xml:space="preserve">106.056 </w:t>
            </w:r>
          </w:p>
        </w:tc>
        <w:tc>
          <w:tcPr>
            <w:tcW w:w="850" w:type="dxa"/>
          </w:tcPr>
          <w:p w:rsidR="006F7C1A" w:rsidRDefault="006F7C1A" w:rsidP="006F7C1A">
            <w:pPr>
              <w:pStyle w:val="Default"/>
              <w:rPr>
                <w:sz w:val="17"/>
                <w:szCs w:val="17"/>
              </w:rPr>
            </w:pPr>
            <w:r>
              <w:rPr>
                <w:sz w:val="17"/>
                <w:szCs w:val="17"/>
              </w:rPr>
              <w:t xml:space="preserve">127.133 </w:t>
            </w:r>
          </w:p>
        </w:tc>
        <w:tc>
          <w:tcPr>
            <w:tcW w:w="1134" w:type="dxa"/>
          </w:tcPr>
          <w:p w:rsidR="006F7C1A" w:rsidRDefault="006F7C1A" w:rsidP="006F7C1A">
            <w:pPr>
              <w:pStyle w:val="Default"/>
              <w:rPr>
                <w:sz w:val="17"/>
                <w:szCs w:val="17"/>
              </w:rPr>
            </w:pPr>
            <w:r>
              <w:rPr>
                <w:sz w:val="17"/>
                <w:szCs w:val="17"/>
              </w:rPr>
              <w:t xml:space="preserve">156.164.971 </w:t>
            </w:r>
          </w:p>
        </w:tc>
        <w:tc>
          <w:tcPr>
            <w:tcW w:w="1276" w:type="dxa"/>
          </w:tcPr>
          <w:p w:rsidR="006F7C1A" w:rsidRDefault="006F7C1A" w:rsidP="006F7C1A">
            <w:pPr>
              <w:pStyle w:val="Default"/>
              <w:rPr>
                <w:sz w:val="17"/>
                <w:szCs w:val="17"/>
              </w:rPr>
            </w:pPr>
            <w:r>
              <w:rPr>
                <w:b/>
                <w:bCs/>
                <w:sz w:val="17"/>
                <w:szCs w:val="17"/>
              </w:rPr>
              <w:t xml:space="preserve">1.201.269.009 </w:t>
            </w:r>
          </w:p>
        </w:tc>
        <w:tc>
          <w:tcPr>
            <w:tcW w:w="992" w:type="dxa"/>
          </w:tcPr>
          <w:p w:rsidR="006F7C1A" w:rsidRDefault="006F7C1A" w:rsidP="006F7C1A">
            <w:pPr>
              <w:pStyle w:val="Default"/>
              <w:rPr>
                <w:sz w:val="17"/>
                <w:szCs w:val="17"/>
              </w:rPr>
            </w:pPr>
            <w:r>
              <w:rPr>
                <w:b/>
                <w:bCs/>
                <w:sz w:val="17"/>
                <w:szCs w:val="17"/>
              </w:rPr>
              <w:t xml:space="preserve">100,000% </w:t>
            </w:r>
          </w:p>
        </w:tc>
      </w:tr>
    </w:tbl>
    <w:p w:rsidR="006F7C1A" w:rsidRDefault="006F7C1A" w:rsidP="006F7C1A">
      <w:pPr>
        <w:pStyle w:val="Default"/>
        <w:jc w:val="both"/>
        <w:rPr>
          <w:i/>
          <w:iCs/>
          <w:sz w:val="22"/>
          <w:szCs w:val="22"/>
        </w:rPr>
      </w:pPr>
    </w:p>
    <w:p w:rsidR="006F7C1A" w:rsidRDefault="006F7C1A" w:rsidP="006F7C1A">
      <w:pPr>
        <w:pStyle w:val="Default"/>
        <w:jc w:val="both"/>
        <w:rPr>
          <w:i/>
          <w:iCs/>
          <w:sz w:val="22"/>
          <w:szCs w:val="22"/>
        </w:rPr>
      </w:pPr>
      <w:r>
        <w:rPr>
          <w:i/>
          <w:iCs/>
          <w:sz w:val="22"/>
          <w:szCs w:val="22"/>
        </w:rPr>
        <w:t xml:space="preserve">Izvor: Federacija Bosne i Hercegovine u brojkama 2014, Federalni zavod za statistiku, Sarajevo, 2014.; „Uputstvo kojim se određuju pojedinačna učešća kantona, jedinica lokalne samouprave i nadležnih javnih kantonalnih ustanova za ceste u prihodima od indirektnih poreza i načina raspoređivanja tih prihoda“ koje Federalno ministarstvo finansija donosi na godišnjem nivou. </w:t>
      </w:r>
    </w:p>
    <w:p w:rsidR="006F7C1A" w:rsidRDefault="006F7C1A" w:rsidP="006F7C1A">
      <w:pPr>
        <w:pStyle w:val="Default"/>
        <w:jc w:val="both"/>
        <w:rPr>
          <w:i/>
          <w:iCs/>
          <w:sz w:val="22"/>
          <w:szCs w:val="22"/>
        </w:rPr>
      </w:pPr>
    </w:p>
    <w:p w:rsidR="006F7C1A" w:rsidRDefault="006F7C1A" w:rsidP="006F7C1A">
      <w:pPr>
        <w:pStyle w:val="Default"/>
        <w:jc w:val="both"/>
        <w:rPr>
          <w:sz w:val="22"/>
          <w:szCs w:val="22"/>
        </w:rPr>
      </w:pPr>
    </w:p>
    <w:p w:rsidR="006F7C1A" w:rsidRPr="00F669E4" w:rsidRDefault="006F7C1A" w:rsidP="006F7C1A">
      <w:pPr>
        <w:jc w:val="both"/>
        <w:rPr>
          <w:rFonts w:ascii="Arial" w:hAnsi="Arial" w:cs="Arial"/>
        </w:rPr>
      </w:pPr>
      <w:r w:rsidRPr="00F669E4">
        <w:rPr>
          <w:rFonts w:ascii="Arial" w:hAnsi="Arial" w:cs="Arial"/>
        </w:rPr>
        <w:t>Model obračuna koeficijenta učešća kantona u javnim prihodima FBiH sa JR (nakon otplate vanjskog duga) i pripadajući iznosi, prikazani su u tabeli 3. Za svaki kanton FBiH dat je broj stanovnika i ponderisan broj stanovnika (kolone 2 i 3), površina i ponderisani iznos površine (kolone 5 i 6), broj učenika osnovne škole i ponderisani broj učenika osnovne škole (kolone 8 i 9), broj učenika srednje škole i ponderisani broj učenika srednje škole (kolone 11 i 12). Za svaki pokazatelj, obračunat je ukupan iznos sredstava u KM, koja se raspoređuju po datom kriteriju (kolone 4, 7, 10 i 13). Ukupni prihodi koji se raspoređuju za svaki pojedinačni kanton, prikazani su u koloni 14 i dobiveni su sabiranjem kolona 4, 7, 10 i 13. Obračunati koeficijenti u koloni 15 predstavljaju procente učešća kantona u ukupnim javnim prihodima FBiH, koja su predviđena za raspodjelu kantonima.</w:t>
      </w:r>
    </w:p>
    <w:p w:rsidR="006F7C1A" w:rsidRDefault="006F7C1A" w:rsidP="00CE711D">
      <w:pPr>
        <w:jc w:val="both"/>
        <w:rPr>
          <w:rFonts w:ascii="Arial" w:hAnsi="Arial" w:cs="Arial"/>
        </w:rPr>
        <w:sectPr w:rsidR="006F7C1A" w:rsidSect="006F7C1A">
          <w:pgSz w:w="15840" w:h="12240" w:orient="landscape"/>
          <w:pgMar w:top="567" w:right="1440" w:bottom="1440" w:left="709" w:header="708" w:footer="708" w:gutter="0"/>
          <w:cols w:space="708"/>
          <w:docGrid w:linePitch="360"/>
        </w:sectPr>
      </w:pPr>
    </w:p>
    <w:p w:rsidR="006F7C1A" w:rsidRDefault="006F7C1A" w:rsidP="00CE711D">
      <w:pPr>
        <w:jc w:val="both"/>
        <w:rPr>
          <w:rFonts w:ascii="Garamond" w:hAnsi="Garamond"/>
          <w:b/>
          <w:bCs/>
        </w:rPr>
      </w:pPr>
    </w:p>
    <w:p w:rsidR="008C3988" w:rsidRPr="00994A10" w:rsidRDefault="008C3988" w:rsidP="00CE711D">
      <w:pPr>
        <w:jc w:val="both"/>
        <w:rPr>
          <w:rFonts w:ascii="Garamond" w:hAnsi="Garamond" w:cs="Arial"/>
        </w:rPr>
      </w:pPr>
      <w:r w:rsidRPr="00994A10">
        <w:rPr>
          <w:rFonts w:ascii="Garamond" w:hAnsi="Garamond"/>
          <w:b/>
          <w:bCs/>
        </w:rPr>
        <w:t xml:space="preserve">Tabela 4. </w:t>
      </w:r>
      <w:r w:rsidRPr="00994A10">
        <w:rPr>
          <w:rFonts w:ascii="Garamond" w:hAnsi="Garamond"/>
        </w:rPr>
        <w:t>Projekcije raspodjele javnih prihoda od indirektnih poreza u 2015. godini za kantone FBiH, po postojećim kriterijima i ponderima</w:t>
      </w:r>
    </w:p>
    <w:tbl>
      <w:tblPr>
        <w:tblW w:w="9672" w:type="dxa"/>
        <w:tblBorders>
          <w:top w:val="nil"/>
          <w:left w:val="nil"/>
          <w:bottom w:val="nil"/>
          <w:right w:val="nil"/>
        </w:tblBorders>
        <w:tblLayout w:type="fixed"/>
        <w:tblLook w:val="0000"/>
      </w:tblPr>
      <w:tblGrid>
        <w:gridCol w:w="2235"/>
        <w:gridCol w:w="1633"/>
        <w:gridCol w:w="1910"/>
        <w:gridCol w:w="24"/>
        <w:gridCol w:w="1934"/>
        <w:gridCol w:w="1936"/>
      </w:tblGrid>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Raspodjela prihoda </w:t>
            </w:r>
          </w:p>
        </w:tc>
        <w:tc>
          <w:tcPr>
            <w:tcW w:w="3543"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Prihodi po kantonima </w:t>
            </w:r>
          </w:p>
        </w:tc>
        <w:tc>
          <w:tcPr>
            <w:tcW w:w="3894" w:type="dxa"/>
            <w:gridSpan w:val="3"/>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Prihodi kantona po stanovniku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Udio prihoda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Iznos (KM)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Broj stanovnika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Iznos (KM)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Unsko-sanski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10,460%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125.651.426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287.621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437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Posavski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1,996%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23.972.010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38.960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615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Tuzlanski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16,914%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203.182.229 </w:t>
            </w:r>
          </w:p>
        </w:tc>
        <w:tc>
          <w:tcPr>
            <w:tcW w:w="1934" w:type="dxa"/>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498.911 </w:t>
            </w:r>
          </w:p>
        </w:tc>
        <w:tc>
          <w:tcPr>
            <w:tcW w:w="1936" w:type="dxa"/>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407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Zeničko-dobojski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14,093%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169.291.806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398.655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425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Bosansko-podrinjski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1,967%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23.628.605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32.428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729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Srednjobosanski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9,513%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114.271.699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253.149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451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Hercegovačko-neretvanski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8,420%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101.151.921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224.388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451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Zapadnohercegovački kanton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3,267%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39.243.189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81.570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481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Kanton Sarajevo </w:t>
            </w:r>
          </w:p>
        </w:tc>
        <w:tc>
          <w:tcPr>
            <w:tcW w:w="1633" w:type="dxa"/>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29,555% </w:t>
            </w:r>
          </w:p>
        </w:tc>
        <w:tc>
          <w:tcPr>
            <w:tcW w:w="1934" w:type="dxa"/>
            <w:gridSpan w:val="2"/>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355.032.599 </w:t>
            </w:r>
          </w:p>
        </w:tc>
        <w:tc>
          <w:tcPr>
            <w:tcW w:w="1934" w:type="dxa"/>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442.669 </w:t>
            </w:r>
          </w:p>
        </w:tc>
        <w:tc>
          <w:tcPr>
            <w:tcW w:w="1936" w:type="dxa"/>
            <w:tcBorders>
              <w:top w:val="single" w:sz="4" w:space="0" w:color="auto"/>
              <w:left w:val="single" w:sz="4" w:space="0" w:color="auto"/>
              <w:bottom w:val="single" w:sz="4" w:space="0" w:color="auto"/>
              <w:right w:val="single" w:sz="4" w:space="0" w:color="auto"/>
            </w:tcBorders>
          </w:tcPr>
          <w:p w:rsidR="008C3988" w:rsidRPr="008266D5" w:rsidRDefault="008C3988">
            <w:pPr>
              <w:pStyle w:val="Default"/>
              <w:rPr>
                <w:sz w:val="23"/>
                <w:szCs w:val="23"/>
              </w:rPr>
            </w:pPr>
            <w:r w:rsidRPr="008266D5">
              <w:rPr>
                <w:bCs/>
                <w:sz w:val="23"/>
                <w:szCs w:val="23"/>
              </w:rPr>
              <w:t xml:space="preserve">802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Kanton 10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3,816%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45.843.525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78.849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581 </w:t>
            </w:r>
          </w:p>
        </w:tc>
      </w:tr>
      <w:tr w:rsidR="008C3988" w:rsidTr="008C3988">
        <w:trPr>
          <w:trHeight w:val="110"/>
        </w:trPr>
        <w:tc>
          <w:tcPr>
            <w:tcW w:w="2235"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UKUPNO </w:t>
            </w:r>
          </w:p>
        </w:tc>
        <w:tc>
          <w:tcPr>
            <w:tcW w:w="1633"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100,000% </w:t>
            </w:r>
          </w:p>
        </w:tc>
        <w:tc>
          <w:tcPr>
            <w:tcW w:w="1934" w:type="dxa"/>
            <w:gridSpan w:val="2"/>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1.201.269.009 </w:t>
            </w:r>
          </w:p>
        </w:tc>
        <w:tc>
          <w:tcPr>
            <w:tcW w:w="1934"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b/>
                <w:bCs/>
                <w:sz w:val="23"/>
                <w:szCs w:val="23"/>
              </w:rPr>
              <w:t xml:space="preserve">2.337.200 </w:t>
            </w:r>
          </w:p>
        </w:tc>
        <w:tc>
          <w:tcPr>
            <w:tcW w:w="1936" w:type="dxa"/>
            <w:tcBorders>
              <w:top w:val="single" w:sz="4" w:space="0" w:color="auto"/>
              <w:left w:val="single" w:sz="4" w:space="0" w:color="auto"/>
              <w:bottom w:val="single" w:sz="4" w:space="0" w:color="auto"/>
              <w:right w:val="single" w:sz="4" w:space="0" w:color="auto"/>
            </w:tcBorders>
          </w:tcPr>
          <w:p w:rsidR="008C3988" w:rsidRDefault="008C3988">
            <w:pPr>
              <w:pStyle w:val="Default"/>
              <w:rPr>
                <w:sz w:val="23"/>
                <w:szCs w:val="23"/>
              </w:rPr>
            </w:pPr>
            <w:r>
              <w:rPr>
                <w:sz w:val="23"/>
                <w:szCs w:val="23"/>
              </w:rPr>
              <w:t xml:space="preserve">514 </w:t>
            </w:r>
          </w:p>
        </w:tc>
      </w:tr>
    </w:tbl>
    <w:p w:rsidR="008C3988" w:rsidRDefault="008C3988" w:rsidP="00CE711D">
      <w:pPr>
        <w:jc w:val="both"/>
        <w:rPr>
          <w:rFonts w:ascii="Arial" w:hAnsi="Arial" w:cs="Arial"/>
        </w:rPr>
      </w:pPr>
    </w:p>
    <w:p w:rsidR="006F7C1A" w:rsidRDefault="008C3988" w:rsidP="00CE711D">
      <w:pPr>
        <w:jc w:val="both"/>
        <w:rPr>
          <w:rFonts w:ascii="Arial" w:hAnsi="Arial" w:cs="Arial"/>
        </w:rPr>
      </w:pPr>
      <w:r w:rsidRPr="008C3988">
        <w:rPr>
          <w:rFonts w:ascii="Arial" w:hAnsi="Arial" w:cs="Arial"/>
        </w:rPr>
        <w:t xml:space="preserve">Projekcije raspodjele javnih prihoda od indirektnih poreza u 2015. godini za kantone Federacije BiH iznose 1.201.269.009 KM (tabela 4.), pri čemu se najveći udio od 29,555% odnosi na Kanton Sarajevo, te prema navedenim kriterijima i projekcijama ovom Kantonu u 2015. godini pripada suma prihoda od 355.032.599 KM. Drugi kanton po veličini pripadajućih prihoda jeste Tuzlanski kanton s udjelom od 16,914% odnosno 203.182.229 KM, a zatim slijede Zeničko-dobojski kanton (14,093%) te Unsko-sanski kanton (10,460%). Ostali kantoni pojedinačno, u ukupnoj raspodjeli prihoda indirektnih poreza, zauzimaju udjele manje od 10%. Ukoliko se navedena raspodjela javnih prihoda po kantonima stavi u omjer sa brojem stanovnika, uočava se </w:t>
      </w:r>
      <w:r w:rsidRPr="0037171E">
        <w:rPr>
          <w:rFonts w:ascii="Arial" w:hAnsi="Arial" w:cs="Arial"/>
        </w:rPr>
        <w:t xml:space="preserve">da </w:t>
      </w:r>
      <w:r w:rsidRPr="0037171E">
        <w:rPr>
          <w:rFonts w:ascii="Arial" w:hAnsi="Arial" w:cs="Arial"/>
          <w:bCs/>
        </w:rPr>
        <w:t>Kantonu Sarajevo sa 442.669 stanovnika pripada 355.032.599 KM odnosno 802 KM po stanovniku, dok Tuzlanskom kantonu, sa 498.911 stanovnika pripada 203.182.229 KM odnosno 407 KM po stanovniku</w:t>
      </w:r>
      <w:r w:rsidRPr="0037171E">
        <w:rPr>
          <w:rFonts w:ascii="Arial" w:hAnsi="Arial" w:cs="Arial"/>
        </w:rPr>
        <w:t xml:space="preserve">, što </w:t>
      </w:r>
      <w:r w:rsidR="0038230F">
        <w:rPr>
          <w:rFonts w:ascii="Arial" w:hAnsi="Arial" w:cs="Arial"/>
        </w:rPr>
        <w:t>je posl</w:t>
      </w:r>
      <w:r w:rsidR="006F2D5E" w:rsidRPr="0037171E">
        <w:rPr>
          <w:rFonts w:ascii="Arial" w:hAnsi="Arial" w:cs="Arial"/>
        </w:rPr>
        <w:t>je</w:t>
      </w:r>
      <w:r w:rsidR="006F2D5E">
        <w:rPr>
          <w:rFonts w:ascii="Arial" w:hAnsi="Arial" w:cs="Arial"/>
        </w:rPr>
        <w:t>dica pos</w:t>
      </w:r>
      <w:r w:rsidR="00945DBF">
        <w:rPr>
          <w:rFonts w:ascii="Arial" w:hAnsi="Arial" w:cs="Arial"/>
        </w:rPr>
        <w:t>e</w:t>
      </w:r>
      <w:r w:rsidR="006F2D5E">
        <w:rPr>
          <w:rFonts w:ascii="Arial" w:hAnsi="Arial" w:cs="Arial"/>
        </w:rPr>
        <w:t>bnih rashodovnih potreba Kantona Sarajevo te</w:t>
      </w:r>
      <w:r w:rsidR="00945DBF">
        <w:rPr>
          <w:rFonts w:ascii="Arial" w:hAnsi="Arial" w:cs="Arial"/>
        </w:rPr>
        <w:t xml:space="preserve"> je neophodno kako bi raspodjel</w:t>
      </w:r>
      <w:r w:rsidR="006F2D5E">
        <w:rPr>
          <w:rFonts w:ascii="Arial" w:hAnsi="Arial" w:cs="Arial"/>
        </w:rPr>
        <w:t xml:space="preserve">a </w:t>
      </w:r>
      <w:r w:rsidRPr="008C3988">
        <w:rPr>
          <w:rFonts w:ascii="Arial" w:hAnsi="Arial" w:cs="Arial"/>
        </w:rPr>
        <w:t>javnih prihoda od indirektnih poreza</w:t>
      </w:r>
      <w:r w:rsidR="006F2D5E">
        <w:rPr>
          <w:rFonts w:ascii="Arial" w:hAnsi="Arial" w:cs="Arial"/>
        </w:rPr>
        <w:t xml:space="preserve"> bila pravedna te kako bi svi kantoni bili u mogućnosti da podjednako bez obzira na starosnu, zdravstvenu i socijanu strukturu stanovništva izvrš</w:t>
      </w:r>
      <w:r w:rsidR="00945DBF">
        <w:rPr>
          <w:rFonts w:ascii="Arial" w:hAnsi="Arial" w:cs="Arial"/>
        </w:rPr>
        <w:t xml:space="preserve">avaju svoje ustavne nadležnosti </w:t>
      </w:r>
      <w:r w:rsidR="0038230F">
        <w:rPr>
          <w:rFonts w:ascii="Arial" w:hAnsi="Arial" w:cs="Arial"/>
        </w:rPr>
        <w:t>,</w:t>
      </w:r>
      <w:r w:rsidR="00945DBF">
        <w:rPr>
          <w:rFonts w:ascii="Arial" w:hAnsi="Arial" w:cs="Arial"/>
        </w:rPr>
        <w:t>što će se vidjeti u na</w:t>
      </w:r>
      <w:r w:rsidR="0038230F">
        <w:rPr>
          <w:rFonts w:ascii="Arial" w:hAnsi="Arial" w:cs="Arial"/>
        </w:rPr>
        <w:t>s</w:t>
      </w:r>
      <w:r w:rsidR="00945DBF">
        <w:rPr>
          <w:rFonts w:ascii="Arial" w:hAnsi="Arial" w:cs="Arial"/>
        </w:rPr>
        <w:t>tavku teksta iz analize potreba za izdvajanja po kantonima na ime civilnih žrtava rata kao primjera različitih rashodovnih potreba kantona</w:t>
      </w:r>
      <w:r w:rsidR="0038230F">
        <w:rPr>
          <w:rFonts w:ascii="Arial" w:hAnsi="Arial" w:cs="Arial"/>
        </w:rPr>
        <w:t>,</w:t>
      </w:r>
      <w:r w:rsidR="00011463" w:rsidRPr="00011463">
        <w:rPr>
          <w:rFonts w:ascii="Arial" w:hAnsi="Arial" w:cs="Arial"/>
        </w:rPr>
        <w:t xml:space="preserve"> </w:t>
      </w:r>
      <w:r w:rsidR="00011463">
        <w:rPr>
          <w:rFonts w:ascii="Arial" w:hAnsi="Arial" w:cs="Arial"/>
        </w:rPr>
        <w:t>odnosno velikih razlika u pogledu socijalne i zdravstvene strukture stanovništva</w:t>
      </w:r>
      <w:r w:rsidR="00945DBF">
        <w:rPr>
          <w:rFonts w:ascii="Arial" w:hAnsi="Arial" w:cs="Arial"/>
        </w:rPr>
        <w:t>.</w:t>
      </w:r>
    </w:p>
    <w:p w:rsidR="00B961E5" w:rsidRDefault="00B961E5" w:rsidP="00CE711D">
      <w:pPr>
        <w:jc w:val="both"/>
        <w:rPr>
          <w:rFonts w:ascii="Arial" w:hAnsi="Arial" w:cs="Arial"/>
        </w:rPr>
      </w:pPr>
    </w:p>
    <w:p w:rsidR="00CE6E9E" w:rsidRDefault="002E18A2" w:rsidP="00B961E5">
      <w:pPr>
        <w:pStyle w:val="Default"/>
        <w:rPr>
          <w:rFonts w:ascii="Arial" w:hAnsi="Arial" w:cs="Arial"/>
          <w:b/>
          <w:bCs/>
        </w:rPr>
      </w:pPr>
      <w:r>
        <w:rPr>
          <w:rFonts w:ascii="Arial" w:hAnsi="Arial" w:cs="Arial"/>
          <w:b/>
          <w:bCs/>
        </w:rPr>
        <w:t>3</w:t>
      </w:r>
      <w:r w:rsidR="008C3988" w:rsidRPr="00D80D6D">
        <w:rPr>
          <w:rFonts w:ascii="Arial" w:hAnsi="Arial" w:cs="Arial"/>
          <w:b/>
          <w:bCs/>
        </w:rPr>
        <w:t xml:space="preserve">. </w:t>
      </w:r>
      <w:r w:rsidR="006F2D5E" w:rsidRPr="00D80D6D">
        <w:rPr>
          <w:rFonts w:ascii="Arial" w:hAnsi="Arial" w:cs="Arial"/>
          <w:b/>
          <w:bCs/>
        </w:rPr>
        <w:t xml:space="preserve"> </w:t>
      </w:r>
      <w:r w:rsidR="004D0767">
        <w:rPr>
          <w:rFonts w:ascii="Arial" w:hAnsi="Arial" w:cs="Arial"/>
          <w:b/>
          <w:bCs/>
        </w:rPr>
        <w:t>NEIZGRAĐENOST INFRASTRUKTURE KAO UZROK POSEBNIH RASHODOVNIH POTREBA</w:t>
      </w:r>
    </w:p>
    <w:p w:rsidR="00B961E5" w:rsidRPr="00B961E5" w:rsidRDefault="00B961E5" w:rsidP="00B961E5">
      <w:pPr>
        <w:pStyle w:val="Default"/>
        <w:rPr>
          <w:rFonts w:ascii="Arial" w:hAnsi="Arial" w:cs="Arial"/>
          <w:b/>
          <w:bCs/>
        </w:rPr>
      </w:pPr>
    </w:p>
    <w:p w:rsidR="00722561" w:rsidRDefault="007451D9" w:rsidP="00977027">
      <w:pPr>
        <w:jc w:val="both"/>
        <w:rPr>
          <w:rFonts w:ascii="Arial" w:hAnsi="Arial" w:cs="Arial"/>
        </w:rPr>
      </w:pPr>
      <w:r>
        <w:rPr>
          <w:rFonts w:ascii="Arial" w:hAnsi="Arial" w:cs="Arial"/>
        </w:rPr>
        <w:t xml:space="preserve">U Federaciji Bosne i Hercegovine postoji velika razlika u pogledu izgrađenosti infrastrukture </w:t>
      </w:r>
      <w:r w:rsidR="00722561">
        <w:rPr>
          <w:rFonts w:ascii="Arial" w:hAnsi="Arial" w:cs="Arial"/>
        </w:rPr>
        <w:t xml:space="preserve">i </w:t>
      </w:r>
      <w:r>
        <w:rPr>
          <w:rFonts w:ascii="Arial" w:hAnsi="Arial" w:cs="Arial"/>
        </w:rPr>
        <w:t xml:space="preserve">to do te mjere da imamo naprimjer kantone čiji su centri povezani autoputem, </w:t>
      </w:r>
      <w:r w:rsidR="00722561">
        <w:rPr>
          <w:rFonts w:ascii="Arial" w:hAnsi="Arial" w:cs="Arial"/>
        </w:rPr>
        <w:t xml:space="preserve">kantone koji imaju željezničku infrastrukturu ili koji </w:t>
      </w:r>
      <w:r>
        <w:rPr>
          <w:rFonts w:ascii="Arial" w:hAnsi="Arial" w:cs="Arial"/>
        </w:rPr>
        <w:t>imaju izuzetno vrijedne elektroenergetske objekte,</w:t>
      </w:r>
      <w:r w:rsidR="00722561">
        <w:rPr>
          <w:rFonts w:ascii="Arial" w:hAnsi="Arial" w:cs="Arial"/>
        </w:rPr>
        <w:t xml:space="preserve"> itd. dok s druge strane imamo </w:t>
      </w:r>
      <w:r w:rsidR="00722561">
        <w:rPr>
          <w:rFonts w:ascii="Arial" w:hAnsi="Arial" w:cs="Arial"/>
        </w:rPr>
        <w:lastRenderedPageBreak/>
        <w:t>kantone kao što je Bosansko-podrinjski kanton Goražde koji imaju izuzetno nerazvijenu infrastrukturu</w:t>
      </w:r>
      <w:r>
        <w:rPr>
          <w:rFonts w:ascii="Arial" w:hAnsi="Arial" w:cs="Arial"/>
        </w:rPr>
        <w:t xml:space="preserve"> </w:t>
      </w:r>
      <w:r w:rsidR="00722561">
        <w:rPr>
          <w:rFonts w:ascii="Arial" w:hAnsi="Arial" w:cs="Arial"/>
        </w:rPr>
        <w:t>što značajno onemogućava i usporava ekonomski razvoj istih</w:t>
      </w:r>
      <w:r w:rsidR="0038230F">
        <w:rPr>
          <w:rFonts w:ascii="Arial" w:hAnsi="Arial" w:cs="Arial"/>
        </w:rPr>
        <w:t>,</w:t>
      </w:r>
      <w:r w:rsidR="00722561">
        <w:rPr>
          <w:rFonts w:ascii="Arial" w:hAnsi="Arial" w:cs="Arial"/>
        </w:rPr>
        <w:t xml:space="preserve"> a stanovnike istih u pogledu kvalitete i uslove života stavlja u neravnopravan položaj u odnosu na stanovnike kantona sa razvijenijom infrastrukturom.</w:t>
      </w:r>
      <w:r w:rsidR="00403C76">
        <w:rPr>
          <w:rFonts w:ascii="Arial" w:hAnsi="Arial" w:cs="Arial"/>
        </w:rPr>
        <w:t xml:space="preserve"> </w:t>
      </w:r>
      <w:r w:rsidR="00722561">
        <w:rPr>
          <w:rFonts w:ascii="Arial" w:hAnsi="Arial" w:cs="Arial"/>
        </w:rPr>
        <w:t xml:space="preserve">Razlike u pogledu izgrađenosti infrastrukture su takve i tolike da </w:t>
      </w:r>
      <w:r w:rsidR="000E4CAC" w:rsidRPr="00B171B8">
        <w:rPr>
          <w:rFonts w:ascii="Arial" w:hAnsi="Arial" w:cs="Arial"/>
        </w:rPr>
        <w:t xml:space="preserve">je </w:t>
      </w:r>
      <w:r w:rsidR="00722561" w:rsidRPr="00B171B8">
        <w:rPr>
          <w:rFonts w:ascii="Arial" w:hAnsi="Arial" w:cs="Arial"/>
        </w:rPr>
        <w:t>Bosansko-podrinjski kanton Goražde još uv</w:t>
      </w:r>
      <w:r w:rsidR="0038230F">
        <w:rPr>
          <w:rFonts w:ascii="Arial" w:hAnsi="Arial" w:cs="Arial"/>
        </w:rPr>
        <w:t>i</w:t>
      </w:r>
      <w:r w:rsidR="00722561" w:rsidRPr="00B171B8">
        <w:rPr>
          <w:rFonts w:ascii="Arial" w:hAnsi="Arial" w:cs="Arial"/>
        </w:rPr>
        <w:t xml:space="preserve">jek jedno od najnerazvijenijih područja u Bosni i Hercegovini </w:t>
      </w:r>
      <w:r w:rsidR="00722561">
        <w:rPr>
          <w:rFonts w:ascii="Arial" w:hAnsi="Arial" w:cs="Arial"/>
        </w:rPr>
        <w:t xml:space="preserve">iako je </w:t>
      </w:r>
      <w:r w:rsidR="000E4CAC" w:rsidRPr="00B171B8">
        <w:rPr>
          <w:rFonts w:ascii="Arial" w:hAnsi="Arial" w:cs="Arial"/>
        </w:rPr>
        <w:t xml:space="preserve">na području </w:t>
      </w:r>
      <w:r w:rsidR="000E4CAC">
        <w:rPr>
          <w:rFonts w:ascii="Arial" w:hAnsi="Arial" w:cs="Arial"/>
        </w:rPr>
        <w:t>Bosansko-podrinjskog kantona Goražde</w:t>
      </w:r>
      <w:r w:rsidR="000E4CAC" w:rsidRPr="00B171B8">
        <w:rPr>
          <w:rFonts w:ascii="Arial" w:hAnsi="Arial" w:cs="Arial"/>
        </w:rPr>
        <w:t xml:space="preserve"> zahva</w:t>
      </w:r>
      <w:r w:rsidR="009C3300">
        <w:rPr>
          <w:rFonts w:ascii="Arial" w:hAnsi="Arial" w:cs="Arial"/>
        </w:rPr>
        <w:t>lju</w:t>
      </w:r>
      <w:r w:rsidR="000E4CAC" w:rsidRPr="00B171B8">
        <w:rPr>
          <w:rFonts w:ascii="Arial" w:hAnsi="Arial" w:cs="Arial"/>
        </w:rPr>
        <w:t>jući prije svega investicijama određenih privrednih subjekata u zadnjih nekoliko godina ost</w:t>
      </w:r>
      <w:r w:rsidR="00722561">
        <w:rPr>
          <w:rFonts w:ascii="Arial" w:hAnsi="Arial" w:cs="Arial"/>
        </w:rPr>
        <w:t xml:space="preserve">varen značajan ekonomski razvoj. </w:t>
      </w:r>
    </w:p>
    <w:p w:rsidR="00055ABD" w:rsidRDefault="00722561" w:rsidP="00977027">
      <w:pPr>
        <w:jc w:val="both"/>
        <w:rPr>
          <w:rFonts w:ascii="Arial" w:hAnsi="Arial" w:cs="Arial"/>
          <w:lang w:val="hr-HR"/>
        </w:rPr>
      </w:pPr>
      <w:r>
        <w:rPr>
          <w:rFonts w:ascii="Arial" w:hAnsi="Arial" w:cs="Arial"/>
        </w:rPr>
        <w:t xml:space="preserve">Navedeno je poslijedica </w:t>
      </w:r>
      <w:r w:rsidR="000E4CAC">
        <w:rPr>
          <w:rFonts w:ascii="Arial" w:hAnsi="Arial" w:cs="Arial"/>
          <w:lang w:val="hr-HR"/>
        </w:rPr>
        <w:t>težine ratnih d</w:t>
      </w:r>
      <w:r w:rsidR="0038230F">
        <w:rPr>
          <w:rFonts w:ascii="Arial" w:hAnsi="Arial" w:cs="Arial"/>
          <w:lang w:val="hr-HR"/>
        </w:rPr>
        <w:t>j</w:t>
      </w:r>
      <w:r w:rsidR="000E4CAC">
        <w:rPr>
          <w:rFonts w:ascii="Arial" w:hAnsi="Arial" w:cs="Arial"/>
          <w:lang w:val="hr-HR"/>
        </w:rPr>
        <w:t>ejstava</w:t>
      </w:r>
      <w:r w:rsidR="0038230F">
        <w:rPr>
          <w:rFonts w:ascii="Arial" w:hAnsi="Arial" w:cs="Arial"/>
          <w:lang w:val="hr-HR"/>
        </w:rPr>
        <w:t>,</w:t>
      </w:r>
      <w:r w:rsidR="000E4CAC">
        <w:rPr>
          <w:rFonts w:ascii="Arial" w:hAnsi="Arial" w:cs="Arial"/>
          <w:lang w:val="hr-HR"/>
        </w:rPr>
        <w:t xml:space="preserve"> ali </w:t>
      </w:r>
      <w:r w:rsidR="000E4CAC" w:rsidRPr="00B171B8">
        <w:rPr>
          <w:rFonts w:ascii="Arial" w:hAnsi="Arial" w:cs="Arial"/>
          <w:lang w:val="hr-HR"/>
        </w:rPr>
        <w:t xml:space="preserve">u dobroj mjeri </w:t>
      </w:r>
      <w:r w:rsidR="000E4CAC">
        <w:rPr>
          <w:rFonts w:ascii="Arial" w:hAnsi="Arial" w:cs="Arial"/>
          <w:lang w:val="hr-HR"/>
        </w:rPr>
        <w:t>i poslijedica neadekvatne</w:t>
      </w:r>
      <w:r w:rsidR="000E4CAC" w:rsidRPr="00B171B8">
        <w:rPr>
          <w:rFonts w:ascii="Arial" w:hAnsi="Arial" w:cs="Arial"/>
          <w:lang w:val="hr-HR"/>
        </w:rPr>
        <w:t xml:space="preserve"> i nepravedn</w:t>
      </w:r>
      <w:r w:rsidR="000E4CAC">
        <w:rPr>
          <w:rFonts w:ascii="Arial" w:hAnsi="Arial" w:cs="Arial"/>
          <w:lang w:val="hr-HR"/>
        </w:rPr>
        <w:t>e</w:t>
      </w:r>
      <w:r w:rsidR="000E4CAC" w:rsidRPr="00B171B8">
        <w:rPr>
          <w:rFonts w:ascii="Arial" w:hAnsi="Arial" w:cs="Arial"/>
          <w:lang w:val="hr-HR"/>
        </w:rPr>
        <w:t xml:space="preserve"> raspodjel</w:t>
      </w:r>
      <w:r w:rsidR="000E4CAC">
        <w:rPr>
          <w:rFonts w:ascii="Arial" w:hAnsi="Arial" w:cs="Arial"/>
          <w:lang w:val="hr-HR"/>
        </w:rPr>
        <w:t>e</w:t>
      </w:r>
      <w:r w:rsidR="000E4CAC" w:rsidRPr="00B171B8">
        <w:rPr>
          <w:rFonts w:ascii="Arial" w:hAnsi="Arial" w:cs="Arial"/>
          <w:lang w:val="hr-HR"/>
        </w:rPr>
        <w:t xml:space="preserve"> prihoda</w:t>
      </w:r>
      <w:r w:rsidR="0038230F">
        <w:rPr>
          <w:rFonts w:ascii="Arial" w:hAnsi="Arial" w:cs="Arial"/>
          <w:lang w:val="hr-HR"/>
        </w:rPr>
        <w:t>,</w:t>
      </w:r>
      <w:r w:rsidR="000E4CAC">
        <w:rPr>
          <w:rFonts w:ascii="Arial" w:hAnsi="Arial" w:cs="Arial"/>
          <w:lang w:val="hr-HR"/>
        </w:rPr>
        <w:t xml:space="preserve"> posebno u per</w:t>
      </w:r>
      <w:r w:rsidR="0038230F">
        <w:rPr>
          <w:rFonts w:ascii="Arial" w:hAnsi="Arial" w:cs="Arial"/>
          <w:lang w:val="hr-HR"/>
        </w:rPr>
        <w:t>i</w:t>
      </w:r>
      <w:r w:rsidR="000E4CAC">
        <w:rPr>
          <w:rFonts w:ascii="Arial" w:hAnsi="Arial" w:cs="Arial"/>
          <w:lang w:val="hr-HR"/>
        </w:rPr>
        <w:t>odu do 2006. godine</w:t>
      </w:r>
      <w:r w:rsidR="000E4CAC" w:rsidRPr="00B171B8">
        <w:rPr>
          <w:rFonts w:ascii="Arial" w:hAnsi="Arial" w:cs="Arial"/>
        </w:rPr>
        <w:t xml:space="preserve">. </w:t>
      </w:r>
      <w:r w:rsidR="000E4CAC">
        <w:rPr>
          <w:rFonts w:ascii="Arial" w:hAnsi="Arial" w:cs="Arial"/>
          <w:lang w:val="hr-HR"/>
        </w:rPr>
        <w:t>Naime u</w:t>
      </w:r>
      <w:r w:rsidR="000E4CAC" w:rsidRPr="00B171B8">
        <w:rPr>
          <w:rFonts w:ascii="Arial" w:hAnsi="Arial" w:cs="Arial"/>
          <w:lang w:val="hr-HR"/>
        </w:rPr>
        <w:t xml:space="preserve"> ratnom periodu, neposredno prije osnivanja Bosansko-podrinjskog kantona Goražde</w:t>
      </w:r>
      <w:r w:rsidR="009240E6">
        <w:rPr>
          <w:rFonts w:ascii="Arial" w:hAnsi="Arial" w:cs="Arial"/>
          <w:lang w:val="hr-HR"/>
        </w:rPr>
        <w:t>,</w:t>
      </w:r>
      <w:r w:rsidR="000E4CAC" w:rsidRPr="00B171B8">
        <w:rPr>
          <w:rFonts w:ascii="Arial" w:hAnsi="Arial" w:cs="Arial"/>
          <w:lang w:val="hr-HR"/>
        </w:rPr>
        <w:t xml:space="preserve"> područje Kantona odnosno općina koje su ušle u sastav Bosansko-podrinjskog kantona Goražde su pretrpila najveća razaranja tako da su značajna sredstva bila a i danas su potrebna za obnovu infrastrukture</w:t>
      </w:r>
      <w:r w:rsidR="00CE1A49">
        <w:rPr>
          <w:rFonts w:ascii="Arial" w:hAnsi="Arial" w:cs="Arial"/>
          <w:lang w:val="hr-HR"/>
        </w:rPr>
        <w:t>, finansiranje obrazovanja, socijalne i zdravstvene zaštite te</w:t>
      </w:r>
      <w:r w:rsidR="000E4CAC" w:rsidRPr="00B171B8">
        <w:rPr>
          <w:rFonts w:ascii="Arial" w:hAnsi="Arial" w:cs="Arial"/>
          <w:lang w:val="hr-HR"/>
        </w:rPr>
        <w:t xml:space="preserve"> finansiranje uspostave i jačanja institucija sistema. </w:t>
      </w:r>
      <w:r w:rsidR="00CA2D57" w:rsidRPr="00070A11">
        <w:rPr>
          <w:rFonts w:ascii="Arial" w:hAnsi="Arial" w:cs="Arial"/>
          <w:lang w:val="hr-HR"/>
        </w:rPr>
        <w:t xml:space="preserve">Posebno treba naglasiti da </w:t>
      </w:r>
      <w:r w:rsidR="00CA2D57" w:rsidRPr="00070A11">
        <w:rPr>
          <w:rFonts w:ascii="Arial" w:hAnsi="Arial" w:cs="Arial"/>
        </w:rPr>
        <w:t xml:space="preserve">od </w:t>
      </w:r>
      <w:r w:rsidR="00CA2D57" w:rsidRPr="00070A11">
        <w:rPr>
          <w:rFonts w:ascii="Arial" w:hAnsi="Arial" w:cs="Arial"/>
          <w:lang w:val="hr-HR"/>
        </w:rPr>
        <w:t xml:space="preserve">tri općine koje su ušle u sastav Bosansko-podrinjskog kantona Goražde dvije nisu samoodržive te da Kanton svake godine istima doznačava značajna finansijska sredstva kako bi mogle funkcionisati </w:t>
      </w:r>
      <w:r w:rsidR="00211F09">
        <w:rPr>
          <w:rFonts w:ascii="Arial" w:hAnsi="Arial" w:cs="Arial"/>
          <w:lang w:val="hr-HR"/>
        </w:rPr>
        <w:t xml:space="preserve">, </w:t>
      </w:r>
      <w:r w:rsidR="00CA2D57" w:rsidRPr="00070A11">
        <w:rPr>
          <w:rFonts w:ascii="Arial" w:hAnsi="Arial" w:cs="Arial"/>
          <w:lang w:val="hr-HR"/>
        </w:rPr>
        <w:t>kao i da  iste nisu ni prije rata imale potrebnu infrastrukturu.</w:t>
      </w:r>
      <w:r w:rsidR="00CA2D57">
        <w:rPr>
          <w:rFonts w:ascii="Arial" w:hAnsi="Arial" w:cs="Arial"/>
          <w:lang w:val="hr-HR"/>
        </w:rPr>
        <w:t xml:space="preserve"> </w:t>
      </w:r>
      <w:r w:rsidR="000E4CAC">
        <w:rPr>
          <w:rFonts w:ascii="Arial" w:hAnsi="Arial" w:cs="Arial"/>
          <w:lang w:val="hr-HR"/>
        </w:rPr>
        <w:t xml:space="preserve">U tom poslijeratnom periodu raspodjela prihoda je bila takva da je Bosansko-podrinjski kanton </w:t>
      </w:r>
      <w:r w:rsidR="00055ABD">
        <w:rPr>
          <w:rFonts w:ascii="Arial" w:hAnsi="Arial" w:cs="Arial"/>
          <w:lang w:val="hr-HR"/>
        </w:rPr>
        <w:t xml:space="preserve">Goražde </w:t>
      </w:r>
      <w:r w:rsidR="000E4CAC">
        <w:rPr>
          <w:rFonts w:ascii="Arial" w:hAnsi="Arial" w:cs="Arial"/>
          <w:lang w:val="hr-HR"/>
        </w:rPr>
        <w:t>iako je imao najveće potrebe za obnovom infrastrukture kao i višestruko veći procenat</w:t>
      </w:r>
      <w:r w:rsidR="000E4CAC" w:rsidRPr="00B171B8">
        <w:rPr>
          <w:rFonts w:ascii="Arial" w:hAnsi="Arial" w:cs="Arial"/>
          <w:lang w:val="hr-HR"/>
        </w:rPr>
        <w:t xml:space="preserve"> učešća stradalog i oboljelog stanovništva u ukupnom broju stanovnika</w:t>
      </w:r>
      <w:r w:rsidR="00211F09">
        <w:rPr>
          <w:rFonts w:ascii="Arial" w:hAnsi="Arial" w:cs="Arial"/>
          <w:lang w:val="hr-HR"/>
        </w:rPr>
        <w:t>,</w:t>
      </w:r>
      <w:r w:rsidR="000E4CAC" w:rsidRPr="00B171B8">
        <w:rPr>
          <w:rFonts w:ascii="Arial" w:hAnsi="Arial" w:cs="Arial"/>
          <w:lang w:val="hr-HR"/>
        </w:rPr>
        <w:t xml:space="preserve"> </w:t>
      </w:r>
      <w:r w:rsidR="000E4CAC">
        <w:rPr>
          <w:rFonts w:ascii="Arial" w:hAnsi="Arial" w:cs="Arial"/>
          <w:lang w:val="hr-HR"/>
        </w:rPr>
        <w:t>imao dva puta manje prihode od Posavskog kantona kao kantona koji je u tom periodu poslije Bosansko-podrinjskog kantona Goražde imao najmanje prihode u Federaciji Bosne i Hercegovine</w:t>
      </w:r>
      <w:r w:rsidR="00D77185">
        <w:rPr>
          <w:rFonts w:ascii="Arial" w:hAnsi="Arial" w:cs="Arial"/>
          <w:lang w:val="hr-HR"/>
        </w:rPr>
        <w:t>.</w:t>
      </w:r>
      <w:r w:rsidR="006333E4">
        <w:rPr>
          <w:rFonts w:ascii="Arial" w:hAnsi="Arial" w:cs="Arial"/>
          <w:lang w:val="hr-HR"/>
        </w:rPr>
        <w:t xml:space="preserve"> </w:t>
      </w:r>
      <w:r w:rsidR="006333E4" w:rsidRPr="00070A11">
        <w:rPr>
          <w:rFonts w:ascii="Arial" w:hAnsi="Arial" w:cs="Arial"/>
          <w:lang w:val="hr-HR"/>
        </w:rPr>
        <w:t>Pored toga</w:t>
      </w:r>
      <w:r w:rsidR="00211F09">
        <w:rPr>
          <w:rFonts w:ascii="Arial" w:hAnsi="Arial" w:cs="Arial"/>
          <w:lang w:val="hr-HR"/>
        </w:rPr>
        <w:t>,</w:t>
      </w:r>
      <w:r w:rsidR="006333E4" w:rsidRPr="00070A11">
        <w:rPr>
          <w:rFonts w:ascii="Arial" w:hAnsi="Arial" w:cs="Arial"/>
          <w:lang w:val="hr-HR"/>
        </w:rPr>
        <w:t xml:space="preserve"> dvije općine sa područja Bosansko-podri</w:t>
      </w:r>
      <w:r w:rsidR="0010457D" w:rsidRPr="00070A11">
        <w:rPr>
          <w:rFonts w:ascii="Arial" w:hAnsi="Arial" w:cs="Arial"/>
          <w:lang w:val="hr-HR"/>
        </w:rPr>
        <w:t xml:space="preserve">njskog kantona Goražde su bile </w:t>
      </w:r>
      <w:r w:rsidR="006333E4" w:rsidRPr="00070A11">
        <w:rPr>
          <w:rFonts w:ascii="Arial" w:hAnsi="Arial" w:cs="Arial"/>
          <w:lang w:val="hr-HR"/>
        </w:rPr>
        <w:t>a i danas su među tri općine sa najmanjim prihodima u Federaciji BiH</w:t>
      </w:r>
      <w:r w:rsidR="00211F09">
        <w:rPr>
          <w:rFonts w:ascii="Arial" w:hAnsi="Arial" w:cs="Arial"/>
          <w:lang w:val="hr-HR"/>
        </w:rPr>
        <w:t>,</w:t>
      </w:r>
      <w:r w:rsidR="006333E4" w:rsidRPr="00070A11">
        <w:rPr>
          <w:rFonts w:ascii="Arial" w:hAnsi="Arial" w:cs="Arial"/>
          <w:lang w:val="hr-HR"/>
        </w:rPr>
        <w:t xml:space="preserve"> a sve općine sa područja Bosansko-podrinjskog kantona Goražde zajedno su imale a imaju i danas manje prihode i manji budžet od većine općina u Federaciji Bosne i Hercegovine.</w:t>
      </w:r>
      <w:r w:rsidR="006333E4">
        <w:rPr>
          <w:rFonts w:ascii="Arial" w:hAnsi="Arial" w:cs="Arial"/>
          <w:lang w:val="hr-HR"/>
        </w:rPr>
        <w:t xml:space="preserve"> </w:t>
      </w:r>
      <w:r w:rsidR="00211F09">
        <w:rPr>
          <w:rFonts w:ascii="Arial" w:hAnsi="Arial" w:cs="Arial"/>
          <w:lang w:val="hr-HR"/>
        </w:rPr>
        <w:t>To je za posl</w:t>
      </w:r>
      <w:r w:rsidR="00D77185">
        <w:rPr>
          <w:rFonts w:ascii="Arial" w:hAnsi="Arial" w:cs="Arial"/>
          <w:lang w:val="hr-HR"/>
        </w:rPr>
        <w:t>jedicu imalo višegodišnje neadekvatno pružanje zdravstvene i socijalne zaštite građanima Bosansko-podrinjskog kantona Goražde te da su p</w:t>
      </w:r>
      <w:r w:rsidR="00D77185" w:rsidRPr="00B171B8">
        <w:rPr>
          <w:rFonts w:ascii="Arial" w:hAnsi="Arial" w:cs="Arial"/>
          <w:lang w:val="hr-HR"/>
        </w:rPr>
        <w:t>late i naknade zaposlenih u institucijama Bosansko-podrinjskom kanto</w:t>
      </w:r>
      <w:r w:rsidR="009C3300">
        <w:rPr>
          <w:rFonts w:ascii="Arial" w:hAnsi="Arial" w:cs="Arial"/>
          <w:lang w:val="hr-HR"/>
        </w:rPr>
        <w:t xml:space="preserve">nu Goražde su do 2007.godine </w:t>
      </w:r>
      <w:r w:rsidR="00D77185" w:rsidRPr="00B171B8">
        <w:rPr>
          <w:rFonts w:ascii="Arial" w:hAnsi="Arial" w:cs="Arial"/>
          <w:lang w:val="hr-HR"/>
        </w:rPr>
        <w:t>bile dva do tri puta manje nego plaće i naknade zaposl</w:t>
      </w:r>
      <w:r w:rsidR="00211F09">
        <w:rPr>
          <w:rFonts w:ascii="Arial" w:hAnsi="Arial" w:cs="Arial"/>
          <w:lang w:val="hr-HR"/>
        </w:rPr>
        <w:t>e</w:t>
      </w:r>
      <w:r w:rsidR="00D77185" w:rsidRPr="00B171B8">
        <w:rPr>
          <w:rFonts w:ascii="Arial" w:hAnsi="Arial" w:cs="Arial"/>
          <w:lang w:val="hr-HR"/>
        </w:rPr>
        <w:t>nih u institucijama Federacije Bos</w:t>
      </w:r>
      <w:r w:rsidR="009C3300">
        <w:rPr>
          <w:rFonts w:ascii="Arial" w:hAnsi="Arial" w:cs="Arial"/>
          <w:lang w:val="hr-HR"/>
        </w:rPr>
        <w:t>ne i Hercegovine</w:t>
      </w:r>
      <w:r w:rsidR="009A0799">
        <w:rPr>
          <w:rFonts w:ascii="Arial" w:hAnsi="Arial" w:cs="Arial"/>
          <w:lang w:val="hr-HR"/>
        </w:rPr>
        <w:t>,,</w:t>
      </w:r>
      <w:r w:rsidR="009C3300">
        <w:rPr>
          <w:rFonts w:ascii="Arial" w:hAnsi="Arial" w:cs="Arial"/>
          <w:lang w:val="hr-HR"/>
        </w:rPr>
        <w:t xml:space="preserve"> odnosno</w:t>
      </w:r>
      <w:r w:rsidR="00D77185" w:rsidRPr="00B171B8">
        <w:rPr>
          <w:rFonts w:ascii="Arial" w:hAnsi="Arial" w:cs="Arial"/>
          <w:lang w:val="hr-HR"/>
        </w:rPr>
        <w:t xml:space="preserve"> dva do tri puta manje nego plaće i naknade zaposlenih u odgovarajućim institucijama u drugim kantonima</w:t>
      </w:r>
      <w:r w:rsidR="00CE1A49">
        <w:rPr>
          <w:rFonts w:ascii="Arial" w:hAnsi="Arial" w:cs="Arial"/>
          <w:lang w:val="hr-HR"/>
        </w:rPr>
        <w:t>.</w:t>
      </w:r>
      <w:r w:rsidR="00802EEB" w:rsidRPr="00802EEB">
        <w:rPr>
          <w:rFonts w:ascii="Arial" w:hAnsi="Arial" w:cs="Arial"/>
          <w:lang w:val="hr-HR"/>
        </w:rPr>
        <w:t xml:space="preserve"> </w:t>
      </w:r>
    </w:p>
    <w:p w:rsidR="006333E4" w:rsidRPr="00070A11" w:rsidRDefault="00802EEB" w:rsidP="00977027">
      <w:pPr>
        <w:jc w:val="both"/>
        <w:rPr>
          <w:rFonts w:ascii="Arial" w:hAnsi="Arial" w:cs="Arial"/>
          <w:lang w:val="hr-HR"/>
        </w:rPr>
      </w:pPr>
      <w:r w:rsidRPr="00070A11">
        <w:rPr>
          <w:rFonts w:ascii="Arial" w:hAnsi="Arial" w:cs="Arial"/>
          <w:lang w:val="hr-HR"/>
        </w:rPr>
        <w:t>Iako je</w:t>
      </w:r>
      <w:r w:rsidR="009A0799">
        <w:rPr>
          <w:rFonts w:ascii="Arial" w:hAnsi="Arial" w:cs="Arial"/>
          <w:lang w:val="hr-HR"/>
        </w:rPr>
        <w:t>,</w:t>
      </w:r>
      <w:r w:rsidRPr="00070A11">
        <w:rPr>
          <w:rFonts w:ascii="Arial" w:hAnsi="Arial" w:cs="Arial"/>
          <w:lang w:val="hr-HR"/>
        </w:rPr>
        <w:t xml:space="preserve"> </w:t>
      </w:r>
      <w:r w:rsidR="003B6D3F" w:rsidRPr="00070A11">
        <w:rPr>
          <w:rFonts w:ascii="Arial" w:hAnsi="Arial" w:cs="Arial"/>
          <w:lang w:val="hr-HR"/>
        </w:rPr>
        <w:t>kao što je naprijed navedeno</w:t>
      </w:r>
      <w:r w:rsidR="009A0799">
        <w:rPr>
          <w:rFonts w:ascii="Arial" w:hAnsi="Arial" w:cs="Arial"/>
          <w:lang w:val="hr-HR"/>
        </w:rPr>
        <w:t xml:space="preserve">, </w:t>
      </w:r>
      <w:r w:rsidRPr="00070A11">
        <w:rPr>
          <w:rFonts w:ascii="Arial" w:hAnsi="Arial" w:cs="Arial"/>
          <w:lang w:val="hr-HR"/>
        </w:rPr>
        <w:t>na području Bosansko-podrinjski kanton Goražde u zadnjih nekoliko godina ostvaren značajan ekono</w:t>
      </w:r>
      <w:r w:rsidR="00B67003" w:rsidRPr="00070A11">
        <w:rPr>
          <w:rFonts w:ascii="Arial" w:hAnsi="Arial" w:cs="Arial"/>
          <w:lang w:val="hr-HR"/>
        </w:rPr>
        <w:t>ms</w:t>
      </w:r>
      <w:r w:rsidRPr="00070A11">
        <w:rPr>
          <w:rFonts w:ascii="Arial" w:hAnsi="Arial" w:cs="Arial"/>
          <w:lang w:val="hr-HR"/>
        </w:rPr>
        <w:t>ki razvoj i iako su prihodi značajno povećani</w:t>
      </w:r>
      <w:r w:rsidR="003B6D3F" w:rsidRPr="00070A11">
        <w:rPr>
          <w:rFonts w:ascii="Arial" w:hAnsi="Arial" w:cs="Arial"/>
          <w:lang w:val="hr-HR"/>
        </w:rPr>
        <w:t>,</w:t>
      </w:r>
      <w:r w:rsidRPr="00070A11">
        <w:rPr>
          <w:rFonts w:ascii="Arial" w:hAnsi="Arial" w:cs="Arial"/>
          <w:lang w:val="hr-HR"/>
        </w:rPr>
        <w:t xml:space="preserve"> </w:t>
      </w:r>
      <w:r w:rsidR="00B67003" w:rsidRPr="00070A11">
        <w:rPr>
          <w:rFonts w:ascii="Arial" w:hAnsi="Arial" w:cs="Arial"/>
          <w:lang w:val="hr-HR"/>
        </w:rPr>
        <w:t xml:space="preserve">Bosansko-podrinjski kanton Goražde </w:t>
      </w:r>
      <w:r w:rsidRPr="00070A11">
        <w:rPr>
          <w:rFonts w:ascii="Arial" w:hAnsi="Arial" w:cs="Arial"/>
          <w:lang w:val="hr-HR"/>
        </w:rPr>
        <w:t>i danas ima najmanje prihode u</w:t>
      </w:r>
      <w:r w:rsidR="006333E4" w:rsidRPr="00070A11">
        <w:rPr>
          <w:rFonts w:ascii="Arial" w:hAnsi="Arial" w:cs="Arial"/>
          <w:lang w:val="hr-HR"/>
        </w:rPr>
        <w:t xml:space="preserve"> Federaciji Bosne i Hercegovine a</w:t>
      </w:r>
      <w:r w:rsidRPr="00070A11">
        <w:rPr>
          <w:rFonts w:ascii="Arial" w:hAnsi="Arial" w:cs="Arial"/>
          <w:lang w:val="hr-HR"/>
        </w:rPr>
        <w:t xml:space="preserve"> dvije općine sa područja Bosansko-podrinjskog kantona Goražde su </w:t>
      </w:r>
      <w:r w:rsidR="00ED3867" w:rsidRPr="00070A11">
        <w:rPr>
          <w:rFonts w:ascii="Arial" w:hAnsi="Arial" w:cs="Arial"/>
          <w:lang w:val="hr-HR"/>
        </w:rPr>
        <w:t xml:space="preserve">i danas </w:t>
      </w:r>
      <w:r w:rsidRPr="00070A11">
        <w:rPr>
          <w:rFonts w:ascii="Arial" w:hAnsi="Arial" w:cs="Arial"/>
          <w:lang w:val="hr-HR"/>
        </w:rPr>
        <w:t>među tri općine sa najma</w:t>
      </w:r>
      <w:r w:rsidR="00CE6E9E" w:rsidRPr="00070A11">
        <w:rPr>
          <w:rFonts w:ascii="Arial" w:hAnsi="Arial" w:cs="Arial"/>
          <w:lang w:val="hr-HR"/>
        </w:rPr>
        <w:t>njim prihodima u Federaciji BiH</w:t>
      </w:r>
      <w:r w:rsidR="00ED3867" w:rsidRPr="00070A11">
        <w:rPr>
          <w:rFonts w:ascii="Arial" w:hAnsi="Arial" w:cs="Arial"/>
          <w:lang w:val="hr-HR"/>
        </w:rPr>
        <w:t xml:space="preserve">. Pored toga bitno je napomenuti da </w:t>
      </w:r>
      <w:r w:rsidRPr="00070A11">
        <w:rPr>
          <w:rFonts w:ascii="Arial" w:hAnsi="Arial" w:cs="Arial"/>
          <w:lang w:val="hr-HR"/>
        </w:rPr>
        <w:t xml:space="preserve">sve općine sa područja Bosansko-podrinjskog kantona Goražde zajedno imaju manje prihode i manji budžet od npr. </w:t>
      </w:r>
      <w:r w:rsidR="00CE6E9E" w:rsidRPr="00070A11">
        <w:rPr>
          <w:rFonts w:ascii="Arial" w:hAnsi="Arial" w:cs="Arial"/>
          <w:lang w:val="hr-HR"/>
        </w:rPr>
        <w:t>s</w:t>
      </w:r>
      <w:r w:rsidRPr="00070A11">
        <w:rPr>
          <w:rFonts w:ascii="Arial" w:hAnsi="Arial" w:cs="Arial"/>
          <w:lang w:val="hr-HR"/>
        </w:rPr>
        <w:t>edam općina iz Tuzlanskog kantona</w:t>
      </w:r>
      <w:r w:rsidR="00B67003" w:rsidRPr="00070A11">
        <w:rPr>
          <w:rFonts w:ascii="Arial" w:hAnsi="Arial" w:cs="Arial"/>
          <w:lang w:val="hr-HR"/>
        </w:rPr>
        <w:t xml:space="preserve"> i šest općina Zeničko-d</w:t>
      </w:r>
      <w:r w:rsidR="00CE6E9E" w:rsidRPr="00070A11">
        <w:rPr>
          <w:rFonts w:ascii="Arial" w:hAnsi="Arial" w:cs="Arial"/>
          <w:lang w:val="hr-HR"/>
        </w:rPr>
        <w:t>obojskog kantona</w:t>
      </w:r>
      <w:r w:rsidR="003B6D3F" w:rsidRPr="00070A11">
        <w:rPr>
          <w:rFonts w:ascii="Arial" w:hAnsi="Arial" w:cs="Arial"/>
          <w:lang w:val="hr-HR"/>
        </w:rPr>
        <w:t>,</w:t>
      </w:r>
      <w:r w:rsidR="00CE6E9E" w:rsidRPr="00070A11">
        <w:rPr>
          <w:rFonts w:ascii="Arial" w:hAnsi="Arial" w:cs="Arial"/>
          <w:lang w:val="hr-HR"/>
        </w:rPr>
        <w:t xml:space="preserve"> dok recimo Općina Tuzla kao i još nekoliko najrazvijenijih općina u Federacij</w:t>
      </w:r>
      <w:r w:rsidR="00B67003" w:rsidRPr="00070A11">
        <w:rPr>
          <w:rFonts w:ascii="Arial" w:hAnsi="Arial" w:cs="Arial"/>
          <w:lang w:val="hr-HR"/>
        </w:rPr>
        <w:t>i Bosne i Hercegovine imaju veći b</w:t>
      </w:r>
      <w:r w:rsidR="00CE6E9E" w:rsidRPr="00070A11">
        <w:rPr>
          <w:rFonts w:ascii="Arial" w:hAnsi="Arial" w:cs="Arial"/>
          <w:lang w:val="hr-HR"/>
        </w:rPr>
        <w:t>udžet i od samog Bosansko-podrinjskog kantona Goražde. Dakle</w:t>
      </w:r>
      <w:r w:rsidR="009A0799">
        <w:rPr>
          <w:rFonts w:ascii="Arial" w:hAnsi="Arial" w:cs="Arial"/>
          <w:lang w:val="hr-HR"/>
        </w:rPr>
        <w:t>,</w:t>
      </w:r>
      <w:r w:rsidR="00CE6E9E" w:rsidRPr="00070A11">
        <w:rPr>
          <w:rFonts w:ascii="Arial" w:hAnsi="Arial" w:cs="Arial"/>
          <w:lang w:val="hr-HR"/>
        </w:rPr>
        <w:t xml:space="preserve"> navedeni kantoni sa velikim brojem razvijenih općina imaju znatno veći priliv sredstava na ime javnih prihoda na područje kantona što omogućava adekvatno finansiranje potreba stanovništva, izg</w:t>
      </w:r>
      <w:r w:rsidR="003B6D3F" w:rsidRPr="00070A11">
        <w:rPr>
          <w:rFonts w:ascii="Arial" w:hAnsi="Arial" w:cs="Arial"/>
          <w:lang w:val="hr-HR"/>
        </w:rPr>
        <w:t>radnju potrebne infrastrukture</w:t>
      </w:r>
      <w:r w:rsidR="009A0799">
        <w:rPr>
          <w:rFonts w:ascii="Arial" w:hAnsi="Arial" w:cs="Arial"/>
          <w:lang w:val="hr-HR"/>
        </w:rPr>
        <w:t>,</w:t>
      </w:r>
      <w:r w:rsidR="003B6D3F" w:rsidRPr="00070A11">
        <w:rPr>
          <w:rFonts w:ascii="Arial" w:hAnsi="Arial" w:cs="Arial"/>
          <w:lang w:val="hr-HR"/>
        </w:rPr>
        <w:t xml:space="preserve"> što</w:t>
      </w:r>
      <w:r w:rsidR="00CE6E9E" w:rsidRPr="00070A11">
        <w:rPr>
          <w:rFonts w:ascii="Arial" w:hAnsi="Arial" w:cs="Arial"/>
          <w:lang w:val="hr-HR"/>
        </w:rPr>
        <w:t xml:space="preserve"> je </w:t>
      </w:r>
      <w:r w:rsidR="003B6D3F" w:rsidRPr="00070A11">
        <w:rPr>
          <w:rFonts w:ascii="Arial" w:hAnsi="Arial" w:cs="Arial"/>
          <w:lang w:val="hr-HR"/>
        </w:rPr>
        <w:t xml:space="preserve">svakako </w:t>
      </w:r>
      <w:r w:rsidR="00CE6E9E" w:rsidRPr="00070A11">
        <w:rPr>
          <w:rFonts w:ascii="Arial" w:hAnsi="Arial" w:cs="Arial"/>
          <w:lang w:val="hr-HR"/>
        </w:rPr>
        <w:t xml:space="preserve">pretpostavka za ekonomski razvoj. </w:t>
      </w:r>
    </w:p>
    <w:p w:rsidR="00CF16B2" w:rsidRDefault="00D263E5" w:rsidP="00977027">
      <w:pPr>
        <w:jc w:val="both"/>
        <w:rPr>
          <w:rFonts w:ascii="Arial" w:hAnsi="Arial" w:cs="Arial"/>
          <w:lang w:val="hr-HR"/>
        </w:rPr>
      </w:pPr>
      <w:r>
        <w:rPr>
          <w:rFonts w:ascii="Arial" w:hAnsi="Arial" w:cs="Arial"/>
          <w:lang w:val="hr-HR"/>
        </w:rPr>
        <w:t>Iz naprijed navedenih razloga</w:t>
      </w:r>
      <w:r w:rsidR="009A0799">
        <w:rPr>
          <w:rFonts w:ascii="Arial" w:hAnsi="Arial" w:cs="Arial"/>
          <w:lang w:val="hr-HR"/>
        </w:rPr>
        <w:t>,</w:t>
      </w:r>
      <w:r>
        <w:rPr>
          <w:rFonts w:ascii="Arial" w:hAnsi="Arial" w:cs="Arial"/>
          <w:lang w:val="hr-HR"/>
        </w:rPr>
        <w:t xml:space="preserve"> Bosansko-podrinjski kanton Goražde nije bio u mogućnosti da obnovi i izgradi neophodnu infrastrukturu</w:t>
      </w:r>
      <w:r w:rsidR="009C3300">
        <w:rPr>
          <w:rFonts w:ascii="Arial" w:hAnsi="Arial" w:cs="Arial"/>
          <w:lang w:val="hr-HR"/>
        </w:rPr>
        <w:t>,</w:t>
      </w:r>
      <w:r>
        <w:rPr>
          <w:rFonts w:ascii="Arial" w:hAnsi="Arial" w:cs="Arial"/>
          <w:lang w:val="hr-HR"/>
        </w:rPr>
        <w:t xml:space="preserve"> a ulaganja Federacije Bosne i Hercegovine u infrastrukturu na području istog su simbolična</w:t>
      </w:r>
      <w:r w:rsidR="00CF16B2">
        <w:rPr>
          <w:rFonts w:ascii="Arial" w:hAnsi="Arial" w:cs="Arial"/>
          <w:lang w:val="hr-HR"/>
        </w:rPr>
        <w:t>.</w:t>
      </w:r>
    </w:p>
    <w:p w:rsidR="00CF16B2" w:rsidRDefault="00CF16B2" w:rsidP="00977027">
      <w:pPr>
        <w:jc w:val="both"/>
        <w:rPr>
          <w:rFonts w:ascii="Arial" w:hAnsi="Arial" w:cs="Arial"/>
          <w:lang w:val="hr-HR"/>
        </w:rPr>
      </w:pPr>
      <w:r>
        <w:rPr>
          <w:rFonts w:ascii="Arial" w:hAnsi="Arial" w:cs="Arial"/>
          <w:lang w:val="hr-HR"/>
        </w:rPr>
        <w:lastRenderedPageBreak/>
        <w:t>Pored toga što su ulaganja Federacije Bosne i Hercegovine u infrastrukturu na području Bosansko-podrinjskog kantona Goražde do sada bila simbolična</w:t>
      </w:r>
      <w:r w:rsidR="00A338B4">
        <w:rPr>
          <w:rFonts w:ascii="Arial" w:hAnsi="Arial" w:cs="Arial"/>
          <w:lang w:val="hr-HR"/>
        </w:rPr>
        <w:t>,</w:t>
      </w:r>
      <w:r>
        <w:rPr>
          <w:rFonts w:ascii="Arial" w:hAnsi="Arial" w:cs="Arial"/>
          <w:lang w:val="hr-HR"/>
        </w:rPr>
        <w:t xml:space="preserve"> </w:t>
      </w:r>
      <w:r w:rsidRPr="00B171B8">
        <w:rPr>
          <w:rFonts w:ascii="Arial" w:hAnsi="Arial" w:cs="Arial"/>
          <w:lang w:val="hr-HR"/>
        </w:rPr>
        <w:t>bitno je napomenuti da je u dosadašnjem periodu bilo simbolično finansiranje projekata na području Bosansko-podrinjskog kantona Goražde od strane Federacije Bosne i Hercegovine</w:t>
      </w:r>
      <w:r w:rsidR="00A338B4">
        <w:rPr>
          <w:rFonts w:ascii="Arial" w:hAnsi="Arial" w:cs="Arial"/>
          <w:lang w:val="hr-HR"/>
        </w:rPr>
        <w:t>,</w:t>
      </w:r>
      <w:r w:rsidRPr="00B171B8">
        <w:rPr>
          <w:rFonts w:ascii="Arial" w:hAnsi="Arial" w:cs="Arial"/>
          <w:lang w:val="hr-HR"/>
        </w:rPr>
        <w:t xml:space="preserve"> odnosno federalnih ministarstava, dok su u drugim kantonima iz Budžeta Federacije Bosne i Hercegovine ali i od strane javnih preduzeća koja su u vlasništvu Federacije Bosne i Hercegovine</w:t>
      </w:r>
      <w:r w:rsidR="00A338B4">
        <w:rPr>
          <w:rFonts w:ascii="Arial" w:hAnsi="Arial" w:cs="Arial"/>
          <w:lang w:val="hr-HR"/>
        </w:rPr>
        <w:t>,</w:t>
      </w:r>
      <w:r w:rsidRPr="00B171B8">
        <w:rPr>
          <w:rFonts w:ascii="Arial" w:hAnsi="Arial" w:cs="Arial"/>
          <w:lang w:val="hr-HR"/>
        </w:rPr>
        <w:t xml:space="preserve"> finansirani brojni projekti te su u te kantone usmjerena značajna sredstva za te projekte kao i za izgradnju infrastrukture. </w:t>
      </w:r>
      <w:r>
        <w:rPr>
          <w:rFonts w:ascii="Arial" w:hAnsi="Arial" w:cs="Arial"/>
          <w:lang w:val="hr-HR"/>
        </w:rPr>
        <w:t xml:space="preserve">Zbog toga je </w:t>
      </w:r>
      <w:r w:rsidRPr="00B171B8">
        <w:rPr>
          <w:rFonts w:ascii="Arial" w:hAnsi="Arial" w:cs="Arial"/>
          <w:lang w:val="hr-HR"/>
        </w:rPr>
        <w:t xml:space="preserve">Bosansko-podrinjski kanton Goražde </w:t>
      </w:r>
      <w:r>
        <w:rPr>
          <w:rFonts w:ascii="Arial" w:hAnsi="Arial" w:cs="Arial"/>
          <w:lang w:val="hr-HR"/>
        </w:rPr>
        <w:t>u</w:t>
      </w:r>
      <w:r w:rsidRPr="00B171B8">
        <w:rPr>
          <w:rFonts w:ascii="Arial" w:hAnsi="Arial" w:cs="Arial"/>
          <w:lang w:val="hr-HR"/>
        </w:rPr>
        <w:t xml:space="preserve"> izgradnju i obnovu vitalne infrastrukture koju je u velikom broju kantona finansirala Federacije Bosne i Hercegovine iz svog Budžeta bio prinuđen da finansira iz kreditnih sredstava te je zbog toga trenutno u situaciji da se prema Zakonu o dugu, zaduženju i garancijama u Federaciji Bosne i Hercegovine ne može dodatno zaduži</w:t>
      </w:r>
      <w:r w:rsidR="00A338B4">
        <w:rPr>
          <w:rFonts w:ascii="Arial" w:hAnsi="Arial" w:cs="Arial"/>
          <w:lang w:val="hr-HR"/>
        </w:rPr>
        <w:t xml:space="preserve">ti te na taj način finansirati </w:t>
      </w:r>
      <w:r w:rsidRPr="00B171B8">
        <w:rPr>
          <w:rFonts w:ascii="Arial" w:hAnsi="Arial" w:cs="Arial"/>
          <w:lang w:val="hr-HR"/>
        </w:rPr>
        <w:t>neophodnu daljnju dogradnju i izgradnju infrastrukture</w:t>
      </w:r>
      <w:r w:rsidR="00CA2D57">
        <w:rPr>
          <w:rFonts w:ascii="Arial" w:hAnsi="Arial" w:cs="Arial"/>
          <w:lang w:val="hr-HR"/>
        </w:rPr>
        <w:t>.</w:t>
      </w:r>
    </w:p>
    <w:p w:rsidR="00D263E5" w:rsidRPr="00403C76" w:rsidRDefault="00CF16B2" w:rsidP="00977027">
      <w:pPr>
        <w:jc w:val="both"/>
        <w:rPr>
          <w:rFonts w:ascii="Arial" w:hAnsi="Arial" w:cs="Arial"/>
        </w:rPr>
      </w:pPr>
      <w:r>
        <w:rPr>
          <w:rFonts w:ascii="Arial" w:hAnsi="Arial" w:cs="Arial"/>
          <w:lang w:val="hr-HR"/>
        </w:rPr>
        <w:t>Iz naprijed navedenih razloga</w:t>
      </w:r>
      <w:r w:rsidR="00A338B4">
        <w:rPr>
          <w:rFonts w:ascii="Arial" w:hAnsi="Arial" w:cs="Arial"/>
          <w:lang w:val="hr-HR"/>
        </w:rPr>
        <w:t>,</w:t>
      </w:r>
      <w:r>
        <w:rPr>
          <w:rFonts w:ascii="Arial" w:hAnsi="Arial" w:cs="Arial"/>
          <w:lang w:val="hr-HR"/>
        </w:rPr>
        <w:t xml:space="preserve"> o</w:t>
      </w:r>
      <w:r w:rsidR="00D263E5" w:rsidRPr="00B171B8">
        <w:rPr>
          <w:rFonts w:ascii="Arial" w:hAnsi="Arial" w:cs="Arial"/>
          <w:lang w:val="hr-HR"/>
        </w:rPr>
        <w:t>bnovljena postojeća infr</w:t>
      </w:r>
      <w:r w:rsidR="00A338B4">
        <w:rPr>
          <w:rFonts w:ascii="Arial" w:hAnsi="Arial" w:cs="Arial"/>
          <w:lang w:val="hr-HR"/>
        </w:rPr>
        <w:t>a</w:t>
      </w:r>
      <w:r w:rsidR="00D263E5" w:rsidRPr="00B171B8">
        <w:rPr>
          <w:rFonts w:ascii="Arial" w:hAnsi="Arial" w:cs="Arial"/>
          <w:lang w:val="hr-HR"/>
        </w:rPr>
        <w:t>struktura na području Bosansko-podrinjskog kantona Goražde</w:t>
      </w:r>
      <w:r w:rsidR="009C3300">
        <w:rPr>
          <w:rFonts w:ascii="Arial" w:hAnsi="Arial" w:cs="Arial"/>
          <w:lang w:val="hr-HR"/>
        </w:rPr>
        <w:t>,</w:t>
      </w:r>
      <w:r w:rsidR="00D263E5" w:rsidRPr="00B171B8">
        <w:rPr>
          <w:rFonts w:ascii="Arial" w:hAnsi="Arial" w:cs="Arial"/>
          <w:lang w:val="hr-HR"/>
        </w:rPr>
        <w:t xml:space="preserve"> </w:t>
      </w:r>
      <w:r w:rsidR="00CA2D57">
        <w:rPr>
          <w:rFonts w:ascii="Arial" w:hAnsi="Arial" w:cs="Arial"/>
          <w:lang w:val="hr-HR"/>
        </w:rPr>
        <w:t>a posebno općina koje nisu samoodržive</w:t>
      </w:r>
      <w:r w:rsidR="009C3300">
        <w:rPr>
          <w:rFonts w:ascii="Arial" w:hAnsi="Arial" w:cs="Arial"/>
          <w:lang w:val="hr-HR"/>
        </w:rPr>
        <w:t xml:space="preserve"> i koje nisu ni prije rata </w:t>
      </w:r>
      <w:r w:rsidR="00CA2D57">
        <w:rPr>
          <w:rFonts w:ascii="Arial" w:hAnsi="Arial" w:cs="Arial"/>
          <w:lang w:val="hr-HR"/>
        </w:rPr>
        <w:t>imale potrebnu infrastrukturu,</w:t>
      </w:r>
      <w:r w:rsidR="00CA2D57" w:rsidRPr="00B171B8">
        <w:rPr>
          <w:rFonts w:ascii="Arial" w:hAnsi="Arial" w:cs="Arial"/>
          <w:lang w:val="hr-HR"/>
        </w:rPr>
        <w:t xml:space="preserve"> </w:t>
      </w:r>
      <w:r w:rsidR="00D263E5" w:rsidRPr="00B171B8">
        <w:rPr>
          <w:rFonts w:ascii="Arial" w:hAnsi="Arial" w:cs="Arial"/>
          <w:lang w:val="hr-HR"/>
        </w:rPr>
        <w:t>je nedovoljna i ne može zadovoljiti osnovne potrebe Kantona odnosno</w:t>
      </w:r>
      <w:r w:rsidR="009C3300">
        <w:rPr>
          <w:rFonts w:ascii="Arial" w:hAnsi="Arial" w:cs="Arial"/>
          <w:lang w:val="hr-HR"/>
        </w:rPr>
        <w:t>,</w:t>
      </w:r>
      <w:r w:rsidR="00D263E5" w:rsidRPr="00B171B8">
        <w:rPr>
          <w:rFonts w:ascii="Arial" w:hAnsi="Arial" w:cs="Arial"/>
          <w:lang w:val="hr-HR"/>
        </w:rPr>
        <w:t xml:space="preserve"> privrednih subjekata sa područja Kantona, a posebno ne može zadovoljiti potrebe izvozno orjentisanih privrednih subjekata</w:t>
      </w:r>
      <w:r w:rsidR="00CA2D57">
        <w:rPr>
          <w:rFonts w:ascii="Arial" w:hAnsi="Arial" w:cs="Arial"/>
          <w:lang w:val="hr-HR"/>
        </w:rPr>
        <w:t>.</w:t>
      </w:r>
      <w:r w:rsidR="00D263E5" w:rsidRPr="00B171B8">
        <w:rPr>
          <w:rFonts w:ascii="Arial" w:hAnsi="Arial" w:cs="Arial"/>
          <w:lang w:val="hr-HR"/>
        </w:rPr>
        <w:t xml:space="preserve"> </w:t>
      </w:r>
      <w:r w:rsidR="00CA2D57">
        <w:rPr>
          <w:rFonts w:ascii="Arial" w:hAnsi="Arial" w:cs="Arial"/>
          <w:lang w:val="hr-HR"/>
        </w:rPr>
        <w:t>Zbog toga</w:t>
      </w:r>
      <w:r w:rsidR="00D263E5" w:rsidRPr="00B171B8">
        <w:rPr>
          <w:rFonts w:ascii="Arial" w:hAnsi="Arial" w:cs="Arial"/>
          <w:lang w:val="hr-HR"/>
        </w:rPr>
        <w:t xml:space="preserve"> su potrebna </w:t>
      </w:r>
      <w:r w:rsidR="00D263E5">
        <w:rPr>
          <w:rFonts w:ascii="Arial" w:hAnsi="Arial" w:cs="Arial"/>
          <w:lang w:val="hr-HR"/>
        </w:rPr>
        <w:t>značajna</w:t>
      </w:r>
      <w:r w:rsidR="00403C76">
        <w:rPr>
          <w:rFonts w:ascii="Arial" w:hAnsi="Arial" w:cs="Arial"/>
          <w:lang w:val="hr-HR"/>
        </w:rPr>
        <w:t xml:space="preserve"> sredstva kako bi se</w:t>
      </w:r>
      <w:r w:rsidR="00D263E5" w:rsidRPr="00B171B8">
        <w:rPr>
          <w:rFonts w:ascii="Arial" w:hAnsi="Arial" w:cs="Arial"/>
          <w:lang w:val="hr-HR"/>
        </w:rPr>
        <w:t xml:space="preserve"> </w:t>
      </w:r>
      <w:r w:rsidR="00403C76">
        <w:rPr>
          <w:rFonts w:ascii="Arial" w:hAnsi="Arial" w:cs="Arial"/>
          <w:lang w:val="hr-HR"/>
        </w:rPr>
        <w:t xml:space="preserve">ista </w:t>
      </w:r>
      <w:r w:rsidR="00D263E5" w:rsidRPr="00B171B8">
        <w:rPr>
          <w:rFonts w:ascii="Arial" w:hAnsi="Arial" w:cs="Arial"/>
          <w:lang w:val="hr-HR"/>
        </w:rPr>
        <w:t>dogradila</w:t>
      </w:r>
      <w:r w:rsidR="009C3300">
        <w:rPr>
          <w:rFonts w:ascii="Arial" w:hAnsi="Arial" w:cs="Arial"/>
          <w:lang w:val="hr-HR"/>
        </w:rPr>
        <w:t>,</w:t>
      </w:r>
      <w:r w:rsidR="00D263E5" w:rsidRPr="00B171B8">
        <w:rPr>
          <w:rFonts w:ascii="Arial" w:hAnsi="Arial" w:cs="Arial"/>
          <w:lang w:val="hr-HR"/>
        </w:rPr>
        <w:t xml:space="preserve"> odnosno kako bi se izgradila infrastruktura koja nedostaje a koja je neophodna. Kako bi </w:t>
      </w:r>
      <w:r w:rsidR="00A338B4">
        <w:rPr>
          <w:rFonts w:ascii="Arial" w:hAnsi="Arial" w:cs="Arial"/>
          <w:lang w:val="hr-HR"/>
        </w:rPr>
        <w:t>v</w:t>
      </w:r>
      <w:r w:rsidR="00D263E5" w:rsidRPr="00B171B8">
        <w:rPr>
          <w:rFonts w:ascii="Arial" w:hAnsi="Arial" w:cs="Arial"/>
          <w:lang w:val="hr-HR"/>
        </w:rPr>
        <w:t>am predočili kakvo je stanje infrastrukture navodimo slijedeće primjere:</w:t>
      </w:r>
    </w:p>
    <w:p w:rsidR="00D263E5" w:rsidRPr="00B171B8" w:rsidRDefault="00D263E5" w:rsidP="00977027">
      <w:pPr>
        <w:numPr>
          <w:ilvl w:val="0"/>
          <w:numId w:val="2"/>
        </w:numPr>
        <w:spacing w:after="0"/>
        <w:jc w:val="both"/>
        <w:rPr>
          <w:rFonts w:ascii="Arial" w:hAnsi="Arial" w:cs="Arial"/>
          <w:lang w:val="hr-HR"/>
        </w:rPr>
      </w:pPr>
      <w:r w:rsidRPr="00B171B8">
        <w:rPr>
          <w:rFonts w:ascii="Arial" w:hAnsi="Arial" w:cs="Arial"/>
          <w:lang w:val="hr-HR"/>
        </w:rPr>
        <w:t>Sarajevo je jedini grad u Federaciji Bosne i Hercegovine sa kojim je Bosansko-podrinjski kanton Goražde povezan cestovno i to magistralnim putem koji gotovo cijelim dijelom prolazi kroz Republiku Srpsku (dakle institucije Federacije Bosne i Hercegovine ne održavaju ni tu jedinu putnu komunikaciju)</w:t>
      </w:r>
    </w:p>
    <w:p w:rsidR="00D263E5" w:rsidRPr="00B171B8" w:rsidRDefault="00D263E5" w:rsidP="00977027">
      <w:pPr>
        <w:numPr>
          <w:ilvl w:val="0"/>
          <w:numId w:val="2"/>
        </w:numPr>
        <w:spacing w:after="0"/>
        <w:jc w:val="both"/>
        <w:rPr>
          <w:rFonts w:ascii="Arial" w:hAnsi="Arial" w:cs="Arial"/>
          <w:lang w:val="hr-HR"/>
        </w:rPr>
      </w:pPr>
      <w:r w:rsidRPr="00B171B8">
        <w:rPr>
          <w:rFonts w:ascii="Arial" w:hAnsi="Arial" w:cs="Arial"/>
          <w:lang w:val="hr-HR"/>
        </w:rPr>
        <w:t>kroz Bosansko-podrinjski kanton Goražde prolazi svega cca 30 km magistralnog puta tako da institucije Federacije Bosne i Hercegovine održavaju samo tu putnu komunikaciju a ulaganja u istu su od osnivanja Kantona simbolična. Sve druge putne komunikacije na području Bosansko-podrinjskog kantona Goražde održavaju uglavnom Kanton</w:t>
      </w:r>
      <w:r w:rsidR="00A338B4">
        <w:rPr>
          <w:rFonts w:ascii="Arial" w:hAnsi="Arial" w:cs="Arial"/>
          <w:lang w:val="hr-HR"/>
        </w:rPr>
        <w:t>,</w:t>
      </w:r>
      <w:r w:rsidRPr="00B171B8">
        <w:rPr>
          <w:rFonts w:ascii="Arial" w:hAnsi="Arial" w:cs="Arial"/>
          <w:lang w:val="hr-HR"/>
        </w:rPr>
        <w:t xml:space="preserve"> odnosno općine koje ulaze u sastav Kantona i iste su u izuzetno lošem stanju (značajan broj tih komunikacija su makadamski putevi tako da smo jedini kanton u Federaciji Bosne i Hercegovine gdje je neka lokalna zajednica sa sjedištem Kantona povezana makadamskim putem)</w:t>
      </w:r>
    </w:p>
    <w:p w:rsidR="00D263E5" w:rsidRPr="00B171B8" w:rsidRDefault="00D263E5" w:rsidP="00977027">
      <w:pPr>
        <w:numPr>
          <w:ilvl w:val="0"/>
          <w:numId w:val="2"/>
        </w:numPr>
        <w:spacing w:after="0"/>
        <w:jc w:val="both"/>
        <w:rPr>
          <w:rFonts w:ascii="Arial" w:hAnsi="Arial" w:cs="Arial"/>
          <w:lang w:val="hr-HR"/>
        </w:rPr>
      </w:pPr>
      <w:r w:rsidRPr="00B171B8">
        <w:rPr>
          <w:rFonts w:ascii="Arial" w:hAnsi="Arial" w:cs="Arial"/>
          <w:lang w:val="hr-HR"/>
        </w:rPr>
        <w:t>na području Bosansko-podrinjsk</w:t>
      </w:r>
      <w:r w:rsidR="00A338B4">
        <w:rPr>
          <w:rFonts w:ascii="Arial" w:hAnsi="Arial" w:cs="Arial"/>
          <w:lang w:val="hr-HR"/>
        </w:rPr>
        <w:t xml:space="preserve">og </w:t>
      </w:r>
      <w:r w:rsidRPr="00B171B8">
        <w:rPr>
          <w:rFonts w:ascii="Arial" w:hAnsi="Arial" w:cs="Arial"/>
          <w:lang w:val="hr-HR"/>
        </w:rPr>
        <w:t>kantona Goražde nema željezničke infrastrukture</w:t>
      </w:r>
    </w:p>
    <w:p w:rsidR="00403C76" w:rsidRDefault="00D263E5" w:rsidP="00977027">
      <w:pPr>
        <w:numPr>
          <w:ilvl w:val="0"/>
          <w:numId w:val="2"/>
        </w:numPr>
        <w:spacing w:after="0"/>
        <w:jc w:val="both"/>
        <w:rPr>
          <w:rFonts w:ascii="Arial" w:hAnsi="Arial" w:cs="Arial"/>
          <w:lang w:val="hr-HR"/>
        </w:rPr>
      </w:pPr>
      <w:r w:rsidRPr="00B171B8">
        <w:rPr>
          <w:rFonts w:ascii="Arial" w:hAnsi="Arial" w:cs="Arial"/>
          <w:lang w:val="hr-HR"/>
        </w:rPr>
        <w:t>pitanje vodosna</w:t>
      </w:r>
      <w:r w:rsidR="00A338B4">
        <w:rPr>
          <w:rFonts w:ascii="Arial" w:hAnsi="Arial" w:cs="Arial"/>
          <w:lang w:val="hr-HR"/>
        </w:rPr>
        <w:t>bdi</w:t>
      </w:r>
      <w:r w:rsidRPr="00B171B8">
        <w:rPr>
          <w:rFonts w:ascii="Arial" w:hAnsi="Arial" w:cs="Arial"/>
          <w:lang w:val="hr-HR"/>
        </w:rPr>
        <w:t>jevanja Goražda je riješeno kreditnim zaduženjem Bosansko-podrinjskog kantona Goražde</w:t>
      </w:r>
      <w:r w:rsidR="00A338B4">
        <w:rPr>
          <w:rFonts w:ascii="Arial" w:hAnsi="Arial" w:cs="Arial"/>
          <w:lang w:val="hr-HR"/>
        </w:rPr>
        <w:t>,</w:t>
      </w:r>
      <w:r w:rsidRPr="00B171B8">
        <w:rPr>
          <w:rFonts w:ascii="Arial" w:hAnsi="Arial" w:cs="Arial"/>
          <w:lang w:val="hr-HR"/>
        </w:rPr>
        <w:t xml:space="preserve"> dok je Federacija Bosne i Hercegovine finansirala rješavanje istog pitanja u velikom broju gradova u nekim drugim kantonima, itd.</w:t>
      </w:r>
    </w:p>
    <w:p w:rsidR="006F7C1A" w:rsidRPr="006F7C1A" w:rsidRDefault="006F7C1A" w:rsidP="006F7C1A">
      <w:pPr>
        <w:spacing w:after="0"/>
        <w:ind w:left="1080"/>
        <w:jc w:val="both"/>
        <w:rPr>
          <w:rFonts w:ascii="Arial" w:hAnsi="Arial" w:cs="Arial"/>
          <w:lang w:val="hr-HR"/>
        </w:rPr>
      </w:pPr>
    </w:p>
    <w:p w:rsidR="009E2259" w:rsidRDefault="00D263E5" w:rsidP="00977027">
      <w:pPr>
        <w:jc w:val="both"/>
        <w:rPr>
          <w:rFonts w:ascii="Arial" w:hAnsi="Arial" w:cs="Arial"/>
          <w:lang w:val="hr-HR"/>
        </w:rPr>
      </w:pPr>
      <w:r>
        <w:rPr>
          <w:rFonts w:ascii="Arial" w:hAnsi="Arial" w:cs="Arial"/>
          <w:lang w:val="hr-HR"/>
        </w:rPr>
        <w:t>U vezi sa navedenim</w:t>
      </w:r>
      <w:r w:rsidR="00A338B4">
        <w:rPr>
          <w:rFonts w:ascii="Arial" w:hAnsi="Arial" w:cs="Arial"/>
          <w:lang w:val="hr-HR"/>
        </w:rPr>
        <w:t>,</w:t>
      </w:r>
      <w:r>
        <w:rPr>
          <w:rFonts w:ascii="Arial" w:hAnsi="Arial" w:cs="Arial"/>
          <w:lang w:val="hr-HR"/>
        </w:rPr>
        <w:t xml:space="preserve"> bitno je napomenuti da n</w:t>
      </w:r>
      <w:r w:rsidRPr="00B171B8">
        <w:rPr>
          <w:rFonts w:ascii="Arial" w:hAnsi="Arial" w:cs="Arial"/>
          <w:lang w:val="hr-HR"/>
        </w:rPr>
        <w:t>ajveći i najznačajniji privredn</w:t>
      </w:r>
      <w:r w:rsidR="00A338B4">
        <w:rPr>
          <w:rFonts w:ascii="Arial" w:hAnsi="Arial" w:cs="Arial"/>
          <w:lang w:val="hr-HR"/>
        </w:rPr>
        <w:t>i subjekti s</w:t>
      </w:r>
      <w:r w:rsidRPr="00B171B8">
        <w:rPr>
          <w:rFonts w:ascii="Arial" w:hAnsi="Arial" w:cs="Arial"/>
          <w:lang w:val="hr-HR"/>
        </w:rPr>
        <w:t xml:space="preserve"> područija Bosansko-podrinjskog kantona Goražde su izvozno orjentisani</w:t>
      </w:r>
      <w:r w:rsidR="00A338B4">
        <w:rPr>
          <w:rFonts w:ascii="Arial" w:hAnsi="Arial" w:cs="Arial"/>
          <w:lang w:val="hr-HR"/>
        </w:rPr>
        <w:t>,</w:t>
      </w:r>
      <w:r w:rsidRPr="00B171B8">
        <w:rPr>
          <w:rFonts w:ascii="Arial" w:hAnsi="Arial" w:cs="Arial"/>
          <w:lang w:val="hr-HR"/>
        </w:rPr>
        <w:t xml:space="preserve"> što ima za posljedicu dodatno umanjenje prihoda Bosansko-podrinjskog kantona Goražde, ali u isto vrijeme utječe na smanjenje vanjsko-trgovinskog deficita što je u interesu Federacije Bosne i Hercegovine</w:t>
      </w:r>
      <w:r w:rsidR="009C3300">
        <w:rPr>
          <w:rFonts w:ascii="Arial" w:hAnsi="Arial" w:cs="Arial"/>
          <w:lang w:val="hr-HR"/>
        </w:rPr>
        <w:t>,</w:t>
      </w:r>
      <w:r w:rsidRPr="00B171B8">
        <w:rPr>
          <w:rFonts w:ascii="Arial" w:hAnsi="Arial" w:cs="Arial"/>
          <w:lang w:val="hr-HR"/>
        </w:rPr>
        <w:t xml:space="preserve"> ali i države Bosne i Hercegovine. Zbog navedenog</w:t>
      </w:r>
      <w:r w:rsidR="00A338B4">
        <w:rPr>
          <w:rFonts w:ascii="Arial" w:hAnsi="Arial" w:cs="Arial"/>
          <w:lang w:val="hr-HR"/>
        </w:rPr>
        <w:t>,</w:t>
      </w:r>
      <w:r w:rsidRPr="00B171B8">
        <w:rPr>
          <w:rFonts w:ascii="Arial" w:hAnsi="Arial" w:cs="Arial"/>
          <w:lang w:val="hr-HR"/>
        </w:rPr>
        <w:t xml:space="preserve"> Bosansko-podrinjski kanton Goražde je jedini kanton u Federaciji Bosne i Hercegovine u kojem je ve</w:t>
      </w:r>
      <w:r w:rsidR="00722A9D">
        <w:rPr>
          <w:rFonts w:ascii="Arial" w:hAnsi="Arial" w:cs="Arial"/>
          <w:lang w:val="hr-HR"/>
        </w:rPr>
        <w:t>ć godinama uvoz manji od izvoza</w:t>
      </w:r>
      <w:r w:rsidR="00A338B4">
        <w:rPr>
          <w:rFonts w:ascii="Arial" w:hAnsi="Arial" w:cs="Arial"/>
          <w:lang w:val="hr-HR"/>
        </w:rPr>
        <w:t>,</w:t>
      </w:r>
      <w:r w:rsidR="00722A9D">
        <w:rPr>
          <w:rFonts w:ascii="Arial" w:hAnsi="Arial" w:cs="Arial"/>
          <w:lang w:val="hr-HR"/>
        </w:rPr>
        <w:t xml:space="preserve"> a taj</w:t>
      </w:r>
      <w:r w:rsidR="00A338B4">
        <w:rPr>
          <w:rFonts w:ascii="Arial" w:hAnsi="Arial" w:cs="Arial"/>
        </w:rPr>
        <w:t xml:space="preserve"> pozitivan trend </w:t>
      </w:r>
      <w:r w:rsidR="00722A9D" w:rsidRPr="00722A9D">
        <w:rPr>
          <w:rFonts w:ascii="Arial" w:hAnsi="Arial" w:cs="Arial"/>
        </w:rPr>
        <w:t xml:space="preserve">rasta  izvoza  roba  </w:t>
      </w:r>
      <w:r w:rsidR="00A338B4">
        <w:rPr>
          <w:rFonts w:ascii="Arial" w:hAnsi="Arial" w:cs="Arial"/>
        </w:rPr>
        <w:t>s</w:t>
      </w:r>
      <w:r w:rsidR="00722A9D" w:rsidRPr="00722A9D">
        <w:rPr>
          <w:rFonts w:ascii="Arial" w:hAnsi="Arial" w:cs="Arial"/>
        </w:rPr>
        <w:t xml:space="preserve">  područja  Bosansko-podrinjskog kantona Goražde</w:t>
      </w:r>
      <w:r w:rsidR="00722A9D">
        <w:rPr>
          <w:rFonts w:ascii="Arial" w:hAnsi="Arial" w:cs="Arial"/>
        </w:rPr>
        <w:t xml:space="preserve"> je nastavljen</w:t>
      </w:r>
      <w:r w:rsidR="00722A9D" w:rsidRPr="00722A9D">
        <w:rPr>
          <w:rFonts w:ascii="Arial" w:hAnsi="Arial" w:cs="Arial"/>
        </w:rPr>
        <w:t>, te  je  isti najveći  ne samo  u Federacije Bosne i Hercegovine</w:t>
      </w:r>
      <w:r w:rsidR="009C3300">
        <w:rPr>
          <w:rFonts w:ascii="Arial" w:hAnsi="Arial" w:cs="Arial"/>
        </w:rPr>
        <w:t>,</w:t>
      </w:r>
      <w:r w:rsidR="00722A9D" w:rsidRPr="00722A9D">
        <w:rPr>
          <w:rFonts w:ascii="Arial" w:hAnsi="Arial" w:cs="Arial"/>
        </w:rPr>
        <w:t xml:space="preserve"> već  i na  nivou  države  Bosne i Hercegovine.  </w:t>
      </w: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sectPr w:rsidR="00313719" w:rsidSect="00D95BC5">
          <w:pgSz w:w="12240" w:h="15840"/>
          <w:pgMar w:top="709" w:right="1041" w:bottom="1440" w:left="1276" w:header="709" w:footer="709" w:gutter="0"/>
          <w:cols w:space="708"/>
          <w:docGrid w:linePitch="360"/>
        </w:sectPr>
      </w:pPr>
    </w:p>
    <w:p w:rsidR="00313719" w:rsidRDefault="00313719" w:rsidP="00313719">
      <w:pPr>
        <w:rPr>
          <w:b/>
          <w:bCs/>
        </w:rPr>
      </w:pPr>
    </w:p>
    <w:p w:rsidR="00313719" w:rsidRDefault="00313719" w:rsidP="00313719">
      <w:r>
        <w:rPr>
          <w:b/>
          <w:bCs/>
        </w:rPr>
        <w:t xml:space="preserve">Tabela 5. </w:t>
      </w:r>
      <w:r>
        <w:t>Pokrivenost uvoza izvozom u Bosni i Hercegovini  po kantonima i regijama za 2013 i 2014. Godinu</w:t>
      </w:r>
    </w:p>
    <w:p w:rsidR="00313719" w:rsidRDefault="00313719" w:rsidP="00313719"/>
    <w:p w:rsidR="00313719" w:rsidRPr="00313719" w:rsidRDefault="00313719" w:rsidP="00313719">
      <w:pPr>
        <w:jc w:val="right"/>
        <w:rPr>
          <w:b/>
        </w:rPr>
      </w:pPr>
      <w:r>
        <w:tab/>
      </w:r>
      <w:r>
        <w:tab/>
      </w:r>
      <w:r w:rsidRPr="007E5488">
        <w:rPr>
          <w:b/>
        </w:rPr>
        <w:t>U 000  KM ( osim  vrijednosti  per  kapita )</w:t>
      </w:r>
    </w:p>
    <w:tbl>
      <w:tblPr>
        <w:tblpPr w:leftFromText="180" w:rightFromText="180" w:vertAnchor="text" w:tblpY="1"/>
        <w:tblOverlap w:val="neve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708"/>
        <w:gridCol w:w="993"/>
        <w:gridCol w:w="992"/>
        <w:gridCol w:w="709"/>
        <w:gridCol w:w="992"/>
        <w:gridCol w:w="992"/>
        <w:gridCol w:w="851"/>
        <w:gridCol w:w="850"/>
        <w:gridCol w:w="851"/>
        <w:gridCol w:w="850"/>
        <w:gridCol w:w="851"/>
        <w:gridCol w:w="850"/>
        <w:gridCol w:w="851"/>
      </w:tblGrid>
      <w:tr w:rsidR="00313719" w:rsidRPr="00B32E55" w:rsidTr="002E18A2">
        <w:trPr>
          <w:trHeight w:val="558"/>
        </w:trPr>
        <w:tc>
          <w:tcPr>
            <w:tcW w:w="1668" w:type="dxa"/>
            <w:gridSpan w:val="2"/>
            <w:tcBorders>
              <w:top w:val="single" w:sz="4" w:space="0" w:color="auto"/>
              <w:bottom w:val="single" w:sz="4" w:space="0" w:color="auto"/>
              <w:right w:val="single" w:sz="4" w:space="0" w:color="auto"/>
            </w:tcBorders>
            <w:shd w:val="clear" w:color="auto" w:fill="DDD9C3"/>
          </w:tcPr>
          <w:p w:rsidR="00313719" w:rsidRPr="00B32E55" w:rsidRDefault="00313719" w:rsidP="002E18A2">
            <w:pPr>
              <w:spacing w:after="120" w:line="240" w:lineRule="auto"/>
              <w:contextualSpacing/>
              <w:jc w:val="center"/>
              <w:rPr>
                <w:rFonts w:ascii="Garamond" w:hAnsi="Garamond"/>
                <w:sz w:val="16"/>
                <w:szCs w:val="16"/>
              </w:rPr>
            </w:pPr>
          </w:p>
          <w:p w:rsidR="00313719" w:rsidRPr="00B32E55" w:rsidRDefault="00313719" w:rsidP="002E18A2">
            <w:pPr>
              <w:spacing w:after="120" w:line="240" w:lineRule="auto"/>
              <w:contextualSpacing/>
              <w:jc w:val="center"/>
              <w:rPr>
                <w:rFonts w:ascii="Garamond" w:hAnsi="Garamond"/>
                <w:sz w:val="16"/>
                <w:szCs w:val="16"/>
              </w:rPr>
            </w:pPr>
            <w:r w:rsidRPr="00B32E55">
              <w:rPr>
                <w:rFonts w:ascii="Garamond" w:hAnsi="Garamond"/>
                <w:sz w:val="16"/>
                <w:szCs w:val="16"/>
              </w:rPr>
              <w:t>Kantoni    -   Naziv</w:t>
            </w:r>
          </w:p>
        </w:tc>
        <w:tc>
          <w:tcPr>
            <w:tcW w:w="2693" w:type="dxa"/>
            <w:gridSpan w:val="3"/>
            <w:tcBorders>
              <w:top w:val="single" w:sz="4" w:space="0" w:color="auto"/>
              <w:bottom w:val="single" w:sz="4" w:space="0" w:color="auto"/>
              <w:right w:val="single" w:sz="4" w:space="0" w:color="auto"/>
            </w:tcBorders>
            <w:shd w:val="clear" w:color="auto" w:fill="DDD9C3"/>
          </w:tcPr>
          <w:p w:rsidR="00313719" w:rsidRPr="00B32E55" w:rsidRDefault="00313719" w:rsidP="002E18A2">
            <w:pPr>
              <w:spacing w:after="120" w:line="240" w:lineRule="auto"/>
              <w:ind w:left="942"/>
              <w:contextualSpacing/>
              <w:jc w:val="center"/>
              <w:rPr>
                <w:rFonts w:ascii="Garamond" w:hAnsi="Garamond"/>
                <w:sz w:val="16"/>
                <w:szCs w:val="16"/>
              </w:rPr>
            </w:pPr>
            <w:r w:rsidRPr="00B32E55">
              <w:rPr>
                <w:rFonts w:ascii="Garamond" w:hAnsi="Garamond"/>
                <w:sz w:val="16"/>
                <w:szCs w:val="16"/>
              </w:rPr>
              <w:t>01.-12.2013.</w:t>
            </w:r>
          </w:p>
          <w:p w:rsidR="00313719" w:rsidRPr="00B32E55" w:rsidRDefault="00313719" w:rsidP="002E18A2">
            <w:pPr>
              <w:spacing w:after="120" w:line="240" w:lineRule="auto"/>
              <w:ind w:left="12"/>
              <w:contextualSpacing/>
              <w:jc w:val="center"/>
              <w:rPr>
                <w:rFonts w:ascii="Garamond" w:hAnsi="Garamond"/>
                <w:sz w:val="16"/>
                <w:szCs w:val="16"/>
              </w:rPr>
            </w:pPr>
            <w:r w:rsidRPr="00B32E55">
              <w:rPr>
                <w:rFonts w:ascii="Garamond" w:hAnsi="Garamond"/>
                <w:sz w:val="16"/>
                <w:szCs w:val="16"/>
              </w:rPr>
              <w:t>Pokrivenost     Saldo      Uvoz+izvoz</w:t>
            </w:r>
          </w:p>
        </w:tc>
        <w:tc>
          <w:tcPr>
            <w:tcW w:w="2693" w:type="dxa"/>
            <w:gridSpan w:val="3"/>
            <w:tcBorders>
              <w:bottom w:val="single" w:sz="4" w:space="0" w:color="auto"/>
              <w:right w:val="single" w:sz="4" w:space="0" w:color="auto"/>
            </w:tcBorders>
            <w:shd w:val="clear" w:color="auto" w:fill="DDD9C3"/>
          </w:tcPr>
          <w:p w:rsidR="00313719" w:rsidRPr="00B32E55" w:rsidRDefault="00313719" w:rsidP="002E18A2">
            <w:pPr>
              <w:spacing w:after="120" w:line="240" w:lineRule="auto"/>
              <w:ind w:left="882"/>
              <w:contextualSpacing/>
              <w:jc w:val="center"/>
              <w:rPr>
                <w:rFonts w:ascii="Garamond" w:hAnsi="Garamond"/>
                <w:sz w:val="16"/>
                <w:szCs w:val="16"/>
              </w:rPr>
            </w:pPr>
            <w:r w:rsidRPr="00B32E55">
              <w:rPr>
                <w:rFonts w:ascii="Garamond" w:hAnsi="Garamond"/>
                <w:sz w:val="16"/>
                <w:szCs w:val="16"/>
              </w:rPr>
              <w:t>01.-12.2014..</w:t>
            </w:r>
          </w:p>
          <w:p w:rsidR="00313719" w:rsidRPr="00B32E55" w:rsidRDefault="00313719" w:rsidP="002E18A2">
            <w:pPr>
              <w:spacing w:after="120" w:line="240" w:lineRule="auto"/>
              <w:contextualSpacing/>
              <w:jc w:val="center"/>
              <w:rPr>
                <w:rFonts w:ascii="Garamond" w:hAnsi="Garamond"/>
                <w:sz w:val="16"/>
                <w:szCs w:val="16"/>
              </w:rPr>
            </w:pPr>
            <w:r w:rsidRPr="00B32E55">
              <w:rPr>
                <w:rFonts w:ascii="Garamond" w:hAnsi="Garamond"/>
                <w:sz w:val="16"/>
                <w:szCs w:val="16"/>
              </w:rPr>
              <w:t>Pokrivenost  Saldo        Uvoz+izvoz</w:t>
            </w:r>
          </w:p>
        </w:tc>
        <w:tc>
          <w:tcPr>
            <w:tcW w:w="851" w:type="dxa"/>
            <w:tcBorders>
              <w:top w:val="single" w:sz="4" w:space="0" w:color="auto"/>
              <w:left w:val="single" w:sz="4" w:space="0" w:color="auto"/>
              <w:right w:val="single" w:sz="4" w:space="0" w:color="auto"/>
            </w:tcBorders>
            <w:shd w:val="clear" w:color="auto" w:fill="DDD9C3"/>
          </w:tcPr>
          <w:p w:rsidR="00313719" w:rsidRPr="00B32E55" w:rsidRDefault="00313719" w:rsidP="002E18A2">
            <w:pPr>
              <w:tabs>
                <w:tab w:val="left" w:pos="6230"/>
              </w:tabs>
              <w:spacing w:after="120" w:line="240" w:lineRule="auto"/>
              <w:contextualSpacing/>
              <w:rPr>
                <w:rFonts w:ascii="Garamond" w:hAnsi="Garamond"/>
                <w:sz w:val="16"/>
                <w:szCs w:val="16"/>
              </w:rPr>
            </w:pPr>
          </w:p>
          <w:p w:rsidR="00313719" w:rsidRPr="00B32E55" w:rsidRDefault="00313719" w:rsidP="002E18A2">
            <w:pPr>
              <w:spacing w:after="120" w:line="240" w:lineRule="auto"/>
              <w:contextualSpacing/>
              <w:jc w:val="both"/>
              <w:rPr>
                <w:rFonts w:ascii="Garamond" w:hAnsi="Garamond"/>
                <w:sz w:val="16"/>
                <w:szCs w:val="16"/>
              </w:rPr>
            </w:pPr>
            <w:r w:rsidRPr="00B32E55">
              <w:rPr>
                <w:rFonts w:ascii="Garamond" w:hAnsi="Garamond"/>
                <w:sz w:val="16"/>
                <w:szCs w:val="16"/>
              </w:rPr>
              <w:t xml:space="preserve"> Br.stan</w:t>
            </w:r>
          </w:p>
        </w:tc>
        <w:tc>
          <w:tcPr>
            <w:tcW w:w="2551" w:type="dxa"/>
            <w:gridSpan w:val="3"/>
            <w:tcBorders>
              <w:top w:val="single" w:sz="4" w:space="0" w:color="auto"/>
              <w:left w:val="single" w:sz="4" w:space="0" w:color="auto"/>
              <w:right w:val="single" w:sz="4" w:space="0" w:color="auto"/>
            </w:tcBorders>
            <w:shd w:val="clear" w:color="auto" w:fill="DDD9C3"/>
          </w:tcPr>
          <w:p w:rsidR="00313719" w:rsidRPr="00B32E55" w:rsidRDefault="00313719" w:rsidP="002E18A2">
            <w:pPr>
              <w:tabs>
                <w:tab w:val="left" w:pos="6230"/>
              </w:tabs>
              <w:spacing w:after="120" w:line="240" w:lineRule="auto"/>
              <w:ind w:left="807"/>
              <w:contextualSpacing/>
              <w:rPr>
                <w:rFonts w:ascii="Garamond" w:hAnsi="Garamond"/>
                <w:sz w:val="16"/>
                <w:szCs w:val="16"/>
              </w:rPr>
            </w:pPr>
            <w:r w:rsidRPr="00B32E55">
              <w:rPr>
                <w:rFonts w:ascii="Garamond" w:hAnsi="Garamond"/>
                <w:sz w:val="16"/>
                <w:szCs w:val="16"/>
              </w:rPr>
              <w:t>01.-12.2013.</w:t>
            </w:r>
          </w:p>
          <w:p w:rsidR="00313719" w:rsidRPr="00B32E55" w:rsidRDefault="00313719" w:rsidP="002E18A2">
            <w:pPr>
              <w:spacing w:after="120" w:line="240" w:lineRule="auto"/>
              <w:contextualSpacing/>
              <w:jc w:val="both"/>
              <w:rPr>
                <w:rFonts w:ascii="Garamond" w:hAnsi="Garamond"/>
                <w:sz w:val="16"/>
                <w:szCs w:val="16"/>
              </w:rPr>
            </w:pPr>
            <w:r w:rsidRPr="00B32E55">
              <w:rPr>
                <w:rFonts w:ascii="Garamond" w:hAnsi="Garamond"/>
                <w:sz w:val="16"/>
                <w:szCs w:val="16"/>
              </w:rPr>
              <w:t xml:space="preserve">Uvoz/St       Izvoz/St      (Uv+iz)St             </w:t>
            </w:r>
          </w:p>
        </w:tc>
        <w:tc>
          <w:tcPr>
            <w:tcW w:w="2552" w:type="dxa"/>
            <w:gridSpan w:val="3"/>
            <w:tcBorders>
              <w:top w:val="single" w:sz="4" w:space="0" w:color="auto"/>
              <w:left w:val="single" w:sz="4" w:space="0" w:color="auto"/>
              <w:right w:val="single" w:sz="4" w:space="0" w:color="auto"/>
            </w:tcBorders>
            <w:shd w:val="clear" w:color="auto" w:fill="DDD9C3"/>
          </w:tcPr>
          <w:p w:rsidR="00313719" w:rsidRPr="00B32E55" w:rsidRDefault="00313719" w:rsidP="002E18A2">
            <w:pPr>
              <w:spacing w:after="120" w:line="240" w:lineRule="auto"/>
              <w:contextualSpacing/>
              <w:jc w:val="both"/>
              <w:rPr>
                <w:rFonts w:ascii="Garamond" w:hAnsi="Garamond"/>
                <w:sz w:val="16"/>
                <w:szCs w:val="16"/>
              </w:rPr>
            </w:pPr>
            <w:r w:rsidRPr="00B32E55">
              <w:rPr>
                <w:rFonts w:ascii="Garamond" w:hAnsi="Garamond"/>
                <w:sz w:val="16"/>
                <w:szCs w:val="16"/>
              </w:rPr>
              <w:t xml:space="preserve">                  01.12.2014.</w:t>
            </w:r>
          </w:p>
          <w:p w:rsidR="00313719" w:rsidRPr="00B32E55" w:rsidRDefault="00313719" w:rsidP="002E18A2">
            <w:pPr>
              <w:spacing w:after="120" w:line="240" w:lineRule="auto"/>
              <w:contextualSpacing/>
              <w:jc w:val="both"/>
              <w:rPr>
                <w:rFonts w:ascii="Garamond" w:hAnsi="Garamond"/>
                <w:sz w:val="16"/>
                <w:szCs w:val="16"/>
              </w:rPr>
            </w:pPr>
            <w:r w:rsidRPr="00B32E55">
              <w:rPr>
                <w:rFonts w:ascii="Garamond" w:hAnsi="Garamond"/>
                <w:sz w:val="16"/>
                <w:szCs w:val="16"/>
              </w:rPr>
              <w:t>Uvoz/St     Izvoz/St     (Uv+Oz)St</w:t>
            </w:r>
          </w:p>
        </w:tc>
      </w:tr>
      <w:tr w:rsidR="00313719" w:rsidRPr="00B32E55" w:rsidTr="002E18A2">
        <w:trPr>
          <w:trHeight w:val="410"/>
        </w:trPr>
        <w:tc>
          <w:tcPr>
            <w:tcW w:w="392"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1 </w:t>
            </w:r>
          </w:p>
        </w:tc>
        <w:tc>
          <w:tcPr>
            <w:tcW w:w="1276"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Unsko-sanski kanton</w:t>
            </w:r>
          </w:p>
        </w:tc>
        <w:tc>
          <w:tcPr>
            <w:tcW w:w="708"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75,61</w:t>
            </w:r>
          </w:p>
        </w:tc>
        <w:tc>
          <w:tcPr>
            <w:tcW w:w="993"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-68.292</w:t>
            </w:r>
          </w:p>
        </w:tc>
        <w:tc>
          <w:tcPr>
            <w:tcW w:w="992"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491.663</w:t>
            </w:r>
          </w:p>
        </w:tc>
        <w:tc>
          <w:tcPr>
            <w:tcW w:w="709"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76,46</w:t>
            </w:r>
          </w:p>
        </w:tc>
        <w:tc>
          <w:tcPr>
            <w:tcW w:w="992"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-69.674</w:t>
            </w:r>
          </w:p>
        </w:tc>
        <w:tc>
          <w:tcPr>
            <w:tcW w:w="992"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522.317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299.343</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935,31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707,17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1.642,47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988,82</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756,06</w:t>
            </w:r>
          </w:p>
        </w:tc>
        <w:tc>
          <w:tcPr>
            <w:tcW w:w="851" w:type="dxa"/>
            <w:tcBorders>
              <w:bottom w:val="nil"/>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1.744,88</w:t>
            </w:r>
          </w:p>
        </w:tc>
      </w:tr>
      <w:tr w:rsidR="00313719" w:rsidRPr="00B32E55" w:rsidTr="002E18A2">
        <w:trPr>
          <w:trHeight w:val="331"/>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Posavski  kanton</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72,21</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-35.100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217.484</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70,60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-39.094</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226.894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48.089</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2.626,21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1.896,31</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4.522,52</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2.765,58</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1.952,63</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4.718,21</w:t>
            </w:r>
          </w:p>
        </w:tc>
      </w:tr>
      <w:tr w:rsidR="00313719" w:rsidRPr="00B32E55" w:rsidTr="002E18A2">
        <w:trPr>
          <w:trHeight w:val="319"/>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Tuzlanski  kanton</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83,81</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-202.051</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2.293.743</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87,35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-163.604</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2.422.543</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477.278</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2.614,61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2.191,27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4.805,88</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2.709,27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2.366,48</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5.075,75</w:t>
            </w:r>
          </w:p>
        </w:tc>
      </w:tr>
      <w:tr w:rsidR="00313719" w:rsidRPr="00B32E55" w:rsidTr="002E18A2">
        <w:trPr>
          <w:trHeight w:val="425"/>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Zeničko-dobojski kanton</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109,89</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145.170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3.080.593</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105,10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81,910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3.294.020</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385.067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3.811,57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4.188,57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8.000,15</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4.170,85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4.383,56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8.554,41</w:t>
            </w:r>
          </w:p>
        </w:tc>
      </w:tr>
      <w:tr w:rsidR="00313719" w:rsidRPr="00B32E55" w:rsidTr="002E18A2">
        <w:trPr>
          <w:trHeight w:val="457"/>
        </w:trPr>
        <w:tc>
          <w:tcPr>
            <w:tcW w:w="392"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w:t>
            </w:r>
          </w:p>
        </w:tc>
        <w:tc>
          <w:tcPr>
            <w:tcW w:w="1276"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Bosansko-podrinjski  </w:t>
            </w:r>
          </w:p>
        </w:tc>
        <w:tc>
          <w:tcPr>
            <w:tcW w:w="708"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134,73</w:t>
            </w:r>
          </w:p>
        </w:tc>
        <w:tc>
          <w:tcPr>
            <w:tcW w:w="993"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33.264</w:t>
            </w:r>
          </w:p>
        </w:tc>
        <w:tc>
          <w:tcPr>
            <w:tcW w:w="992"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224.850</w:t>
            </w:r>
          </w:p>
        </w:tc>
        <w:tc>
          <w:tcPr>
            <w:tcW w:w="709"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135,40</w:t>
            </w:r>
          </w:p>
        </w:tc>
        <w:tc>
          <w:tcPr>
            <w:tcW w:w="992"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41.997</w:t>
            </w:r>
          </w:p>
        </w:tc>
        <w:tc>
          <w:tcPr>
            <w:tcW w:w="992"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279.286</w:t>
            </w:r>
          </w:p>
        </w:tc>
        <w:tc>
          <w:tcPr>
            <w:tcW w:w="851"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25.336</w:t>
            </w:r>
          </w:p>
        </w:tc>
        <w:tc>
          <w:tcPr>
            <w:tcW w:w="850"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3.780,90</w:t>
            </w:r>
          </w:p>
        </w:tc>
        <w:tc>
          <w:tcPr>
            <w:tcW w:w="851"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5.093,83</w:t>
            </w:r>
          </w:p>
        </w:tc>
        <w:tc>
          <w:tcPr>
            <w:tcW w:w="850"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8.874,73</w:t>
            </w:r>
          </w:p>
        </w:tc>
        <w:tc>
          <w:tcPr>
            <w:tcW w:w="851"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4.682,83</w:t>
            </w:r>
          </w:p>
        </w:tc>
        <w:tc>
          <w:tcPr>
            <w:tcW w:w="850"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6.340,44</w:t>
            </w:r>
          </w:p>
        </w:tc>
        <w:tc>
          <w:tcPr>
            <w:tcW w:w="851" w:type="dxa"/>
            <w:shd w:val="clear" w:color="auto" w:fill="7F7F7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11.023,27</w:t>
            </w:r>
          </w:p>
        </w:tc>
      </w:tr>
      <w:tr w:rsidR="00313719" w:rsidRPr="00B32E55" w:rsidTr="002E18A2">
        <w:trPr>
          <w:trHeight w:val="367"/>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Srednjebosanski kanton</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72,49</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-202.734</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1.271.349</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72,09</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-225.115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1.388.133</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273.149</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2.698,31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1.956,10</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4.654,41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2.953,05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2.128,91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5.081,96</w:t>
            </w:r>
          </w:p>
        </w:tc>
      </w:tr>
      <w:tr w:rsidR="00313719" w:rsidRPr="00B32E55" w:rsidTr="002E18A2">
        <w:trPr>
          <w:trHeight w:val="339"/>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Hercegovačko-neretvanski</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64,26</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-379.785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1.745.424</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60,82</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-371.225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1.523.854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236.278</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4.497,26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2.889,90</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7.387,16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4.010,27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2.439,14</w:t>
            </w:r>
          </w:p>
        </w:tc>
        <w:tc>
          <w:tcPr>
            <w:tcW w:w="851" w:type="dxa"/>
            <w:tcBorders>
              <w:bottom w:val="nil"/>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6.449,41</w:t>
            </w:r>
          </w:p>
        </w:tc>
      </w:tr>
      <w:tr w:rsidR="00313719" w:rsidRPr="00B32E55" w:rsidTr="002E18A2">
        <w:trPr>
          <w:trHeight w:val="289"/>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Zapadno-hercegovački</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31,59</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-669.429</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1.287.708</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36,38</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-694.893</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1.489.597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97.893</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9.996,31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3.157,93</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13.154,24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11.157,54</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4.059,04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15.216,58</w:t>
            </w:r>
          </w:p>
        </w:tc>
      </w:tr>
      <w:tr w:rsidR="00313719" w:rsidRPr="00B32E55" w:rsidTr="002E18A2">
        <w:trPr>
          <w:trHeight w:val="241"/>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Kanton Sarajevo</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28,85</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-2.373.525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4.298.459</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28,30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-2.493.076</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4.461.062</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438.443</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7.608,72</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2.195,19</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9.803,92</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7.930,49</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2.244,29</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10.174,78</w:t>
            </w:r>
          </w:p>
        </w:tc>
      </w:tr>
      <w:tr w:rsidR="00313719" w:rsidRPr="00B32E55" w:rsidTr="002E18A2">
        <w:trPr>
          <w:trHeight w:val="273"/>
        </w:trPr>
        <w:tc>
          <w:tcPr>
            <w:tcW w:w="3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w:t>
            </w: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Kanton  10</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49,61</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-82.161</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243.939</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53,90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-67.722</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226.094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90.727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1.797,15</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891,57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2.688,72</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1.619,23</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872,79</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2.492,02</w:t>
            </w:r>
          </w:p>
        </w:tc>
      </w:tr>
      <w:tr w:rsidR="00313719" w:rsidRPr="00B32E55" w:rsidTr="002E18A2">
        <w:trPr>
          <w:trHeight w:val="370"/>
        </w:trPr>
        <w:tc>
          <w:tcPr>
            <w:tcW w:w="392" w:type="dxa"/>
            <w:shd w:val="clear" w:color="auto" w:fill="D9D9D9"/>
          </w:tcPr>
          <w:p w:rsidR="00313719" w:rsidRPr="00B32E55" w:rsidRDefault="00313719" w:rsidP="002E18A2">
            <w:pPr>
              <w:spacing w:line="240" w:lineRule="auto"/>
              <w:contextualSpacing/>
              <w:jc w:val="both"/>
              <w:rPr>
                <w:rFonts w:ascii="Garamond" w:hAnsi="Garamond"/>
                <w:sz w:val="16"/>
                <w:szCs w:val="16"/>
              </w:rPr>
            </w:pPr>
          </w:p>
        </w:tc>
        <w:tc>
          <w:tcPr>
            <w:tcW w:w="1276" w:type="dxa"/>
            <w:tcBorders>
              <w:bottom w:val="single" w:sz="4" w:space="0" w:color="auto"/>
            </w:tcBorders>
            <w:shd w:val="clear" w:color="auto" w:fill="D9D9D9"/>
          </w:tcPr>
          <w:p w:rsidR="00313719" w:rsidRPr="00B32E55" w:rsidRDefault="00313719" w:rsidP="002E18A2">
            <w:pPr>
              <w:spacing w:line="240" w:lineRule="auto"/>
              <w:contextualSpacing/>
              <w:jc w:val="both"/>
              <w:rPr>
                <w:rFonts w:ascii="Garamond" w:hAnsi="Garamond"/>
                <w:sz w:val="16"/>
                <w:szCs w:val="16"/>
              </w:rPr>
            </w:pPr>
            <w:r>
              <w:rPr>
                <w:rFonts w:ascii="Garamond" w:hAnsi="Garamond"/>
                <w:sz w:val="16"/>
                <w:szCs w:val="16"/>
              </w:rPr>
              <w:t>Federacija  B</w:t>
            </w:r>
            <w:r w:rsidRPr="00B32E55">
              <w:rPr>
                <w:rFonts w:ascii="Garamond" w:hAnsi="Garamond"/>
                <w:sz w:val="16"/>
                <w:szCs w:val="16"/>
              </w:rPr>
              <w:t>i</w:t>
            </w:r>
            <w:r>
              <w:rPr>
                <w:rFonts w:ascii="Garamond" w:hAnsi="Garamond"/>
                <w:sz w:val="16"/>
                <w:szCs w:val="16"/>
              </w:rPr>
              <w:t>H</w:t>
            </w:r>
          </w:p>
        </w:tc>
        <w:tc>
          <w:tcPr>
            <w:tcW w:w="708"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59,61</w:t>
            </w:r>
          </w:p>
        </w:tc>
        <w:tc>
          <w:tcPr>
            <w:tcW w:w="993"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-3.834.643</w:t>
            </w:r>
          </w:p>
        </w:tc>
        <w:tc>
          <w:tcPr>
            <w:tcW w:w="992"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15.155.211</w:t>
            </w:r>
          </w:p>
        </w:tc>
        <w:tc>
          <w:tcPr>
            <w:tcW w:w="709"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59,66</w:t>
            </w:r>
          </w:p>
        </w:tc>
        <w:tc>
          <w:tcPr>
            <w:tcW w:w="992"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-4.000.496</w:t>
            </w:r>
          </w:p>
        </w:tc>
        <w:tc>
          <w:tcPr>
            <w:tcW w:w="992"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15.833.800</w:t>
            </w:r>
          </w:p>
        </w:tc>
        <w:tc>
          <w:tcPr>
            <w:tcW w:w="851"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2.371.603</w:t>
            </w:r>
          </w:p>
        </w:tc>
        <w:tc>
          <w:tcPr>
            <w:tcW w:w="850"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4.003,59</w:t>
            </w:r>
          </w:p>
        </w:tc>
        <w:tc>
          <w:tcPr>
            <w:tcW w:w="851"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2.386,69</w:t>
            </w:r>
          </w:p>
        </w:tc>
        <w:tc>
          <w:tcPr>
            <w:tcW w:w="850"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6.390,28</w:t>
            </w:r>
          </w:p>
        </w:tc>
        <w:tc>
          <w:tcPr>
            <w:tcW w:w="851"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4.181,62</w:t>
            </w:r>
          </w:p>
        </w:tc>
        <w:tc>
          <w:tcPr>
            <w:tcW w:w="850"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2.494,79</w:t>
            </w:r>
          </w:p>
        </w:tc>
        <w:tc>
          <w:tcPr>
            <w:tcW w:w="851" w:type="dxa"/>
            <w:shd w:val="clear" w:color="auto" w:fill="D9D9D9"/>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6.676,41</w:t>
            </w:r>
          </w:p>
        </w:tc>
      </w:tr>
      <w:tr w:rsidR="00313719" w:rsidRPr="00B32E55" w:rsidTr="002E18A2">
        <w:trPr>
          <w:trHeight w:val="319"/>
        </w:trPr>
        <w:tc>
          <w:tcPr>
            <w:tcW w:w="392" w:type="dxa"/>
          </w:tcPr>
          <w:p w:rsidR="00313719" w:rsidRPr="00B32E55" w:rsidRDefault="00313719" w:rsidP="002E18A2">
            <w:pPr>
              <w:spacing w:line="240" w:lineRule="auto"/>
              <w:contextualSpacing/>
              <w:jc w:val="both"/>
              <w:rPr>
                <w:rFonts w:ascii="Garamond" w:hAnsi="Garamond"/>
                <w:sz w:val="16"/>
                <w:szCs w:val="16"/>
              </w:rPr>
            </w:pPr>
          </w:p>
        </w:tc>
        <w:tc>
          <w:tcPr>
            <w:tcW w:w="1276" w:type="dxa"/>
            <w:tcBorders>
              <w:top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Brčko Distrikt BiH</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46,61</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-255.905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702.783</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40,19</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-286.365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671.160</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93.028</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5.152,69</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2.401,85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7.554,54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5.146,43</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2.068,17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7.214,60</w:t>
            </w:r>
          </w:p>
        </w:tc>
      </w:tr>
      <w:tr w:rsidR="00313719" w:rsidRPr="00B32E55" w:rsidTr="002E18A2">
        <w:trPr>
          <w:trHeight w:val="231"/>
        </w:trPr>
        <w:tc>
          <w:tcPr>
            <w:tcW w:w="392" w:type="dxa"/>
          </w:tcPr>
          <w:p w:rsidR="00313719" w:rsidRPr="00B32E55" w:rsidRDefault="00313719" w:rsidP="002E18A2">
            <w:pPr>
              <w:spacing w:line="240" w:lineRule="auto"/>
              <w:contextualSpacing/>
              <w:jc w:val="both"/>
              <w:rPr>
                <w:rFonts w:ascii="Garamond" w:hAnsi="Garamond"/>
                <w:sz w:val="16"/>
                <w:szCs w:val="16"/>
              </w:rPr>
            </w:pP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Banja Luka</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48,93</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-1.602.875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4.674.066</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51,74</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1.533.285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4.821.286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597.532</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5..252,39</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2.569,90</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7.822,29</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5.317,35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2.751,32</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8.068,67</w:t>
            </w:r>
          </w:p>
        </w:tc>
      </w:tr>
      <w:tr w:rsidR="00313719" w:rsidRPr="00B32E55" w:rsidTr="002E18A2">
        <w:trPr>
          <w:trHeight w:val="179"/>
        </w:trPr>
        <w:tc>
          <w:tcPr>
            <w:tcW w:w="392" w:type="dxa"/>
          </w:tcPr>
          <w:p w:rsidR="00313719" w:rsidRPr="00B32E55" w:rsidRDefault="00313719" w:rsidP="002E18A2">
            <w:pPr>
              <w:spacing w:line="240" w:lineRule="auto"/>
              <w:contextualSpacing/>
              <w:jc w:val="both"/>
              <w:rPr>
                <w:rFonts w:ascii="Garamond" w:hAnsi="Garamond"/>
                <w:sz w:val="16"/>
                <w:szCs w:val="16"/>
              </w:rPr>
            </w:pP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Doboj</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85,65</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-79.490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1.028.190</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52,74</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-417.435</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1.349.194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226.523</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2.444,96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2.094,05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4.539,01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3.899,45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2.056,65</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5.956,10</w:t>
            </w:r>
          </w:p>
        </w:tc>
      </w:tr>
      <w:tr w:rsidR="00313719" w:rsidRPr="00B32E55" w:rsidTr="002E18A2">
        <w:trPr>
          <w:trHeight w:val="255"/>
        </w:trPr>
        <w:tc>
          <w:tcPr>
            <w:tcW w:w="392" w:type="dxa"/>
          </w:tcPr>
          <w:p w:rsidR="00313719" w:rsidRPr="00B32E55" w:rsidRDefault="00313719" w:rsidP="002E18A2">
            <w:pPr>
              <w:spacing w:line="240" w:lineRule="auto"/>
              <w:contextualSpacing/>
              <w:jc w:val="both"/>
              <w:rPr>
                <w:rFonts w:ascii="Garamond" w:hAnsi="Garamond"/>
                <w:sz w:val="16"/>
                <w:szCs w:val="16"/>
              </w:rPr>
            </w:pP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Bijeljina</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60,95</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-234.579</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966.886</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63,99</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-228.227</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1.039.306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298.255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2.014,16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1.227,65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3.241,81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2.124,91</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1.359,71</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3.484,62</w:t>
            </w:r>
          </w:p>
        </w:tc>
      </w:tr>
      <w:tr w:rsidR="00313719" w:rsidRPr="00B32E55" w:rsidTr="002E18A2">
        <w:trPr>
          <w:trHeight w:val="117"/>
        </w:trPr>
        <w:tc>
          <w:tcPr>
            <w:tcW w:w="392" w:type="dxa"/>
          </w:tcPr>
          <w:p w:rsidR="00313719" w:rsidRPr="00B32E55" w:rsidRDefault="00313719" w:rsidP="002E18A2">
            <w:pPr>
              <w:spacing w:line="240" w:lineRule="auto"/>
              <w:contextualSpacing/>
              <w:jc w:val="both"/>
              <w:rPr>
                <w:rFonts w:ascii="Garamond" w:hAnsi="Garamond"/>
                <w:sz w:val="16"/>
                <w:szCs w:val="16"/>
              </w:rPr>
            </w:pP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Istočno Sarajevo</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62,35</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-50.269</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216.792</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66,90</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-44.734</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225.554</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131.912</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1.012,27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631,19</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1.643,46</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1.024,50</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685,38</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1.709,88</w:t>
            </w:r>
          </w:p>
        </w:tc>
      </w:tr>
      <w:tr w:rsidR="00313719" w:rsidRPr="00B32E55" w:rsidTr="002E18A2">
        <w:trPr>
          <w:trHeight w:val="117"/>
        </w:trPr>
        <w:tc>
          <w:tcPr>
            <w:tcW w:w="392" w:type="dxa"/>
          </w:tcPr>
          <w:p w:rsidR="00313719" w:rsidRPr="00B32E55" w:rsidRDefault="00313719" w:rsidP="002E18A2">
            <w:pPr>
              <w:spacing w:line="240" w:lineRule="auto"/>
              <w:contextualSpacing/>
              <w:jc w:val="both"/>
              <w:rPr>
                <w:rFonts w:ascii="Garamond" w:hAnsi="Garamond"/>
                <w:sz w:val="16"/>
                <w:szCs w:val="16"/>
              </w:rPr>
            </w:pPr>
          </w:p>
        </w:tc>
        <w:tc>
          <w:tcPr>
            <w:tcW w:w="1276"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Trebinje</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146,59</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72.616</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384.339</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134,87</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50.997</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343.473</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72.769</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2.141,87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3.139,77</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5.281,63</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2.009,62</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2.710,42</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4.720,04</w:t>
            </w:r>
          </w:p>
        </w:tc>
      </w:tr>
      <w:tr w:rsidR="00313719" w:rsidRPr="00B32E55" w:rsidTr="002E18A2">
        <w:trPr>
          <w:trHeight w:val="117"/>
        </w:trPr>
        <w:tc>
          <w:tcPr>
            <w:tcW w:w="392" w:type="dxa"/>
            <w:tcBorders>
              <w:right w:val="single" w:sz="4" w:space="0" w:color="auto"/>
            </w:tcBorders>
          </w:tcPr>
          <w:p w:rsidR="00313719" w:rsidRPr="00B32E55" w:rsidRDefault="00313719" w:rsidP="002E18A2">
            <w:pPr>
              <w:spacing w:line="240" w:lineRule="auto"/>
              <w:contextualSpacing/>
              <w:jc w:val="both"/>
              <w:rPr>
                <w:rFonts w:ascii="Garamond" w:hAnsi="Garamond"/>
                <w:sz w:val="16"/>
                <w:szCs w:val="16"/>
              </w:rPr>
            </w:pPr>
          </w:p>
        </w:tc>
        <w:tc>
          <w:tcPr>
            <w:tcW w:w="1276" w:type="dxa"/>
            <w:tcBorders>
              <w:left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Republika  Srpska</w:t>
            </w:r>
          </w:p>
        </w:tc>
        <w:tc>
          <w:tcPr>
            <w:tcW w:w="708"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58,66</w:t>
            </w:r>
          </w:p>
        </w:tc>
        <w:tc>
          <w:tcPr>
            <w:tcW w:w="993"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-1.894.597</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7.270.274</w:t>
            </w:r>
          </w:p>
        </w:tc>
        <w:tc>
          <w:tcPr>
            <w:tcW w:w="709"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56,33</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-2.172.684</w:t>
            </w:r>
          </w:p>
        </w:tc>
        <w:tc>
          <w:tcPr>
            <w:tcW w:w="992"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7.778.813</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1.326.991</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3.453,25</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2.025,51</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5.478,77</w:t>
            </w:r>
          </w:p>
        </w:tc>
        <w:tc>
          <w:tcPr>
            <w:tcW w:w="851"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3.749,65</w:t>
            </w:r>
          </w:p>
        </w:tc>
        <w:tc>
          <w:tcPr>
            <w:tcW w:w="850" w:type="dxa"/>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2.112,35</w:t>
            </w:r>
          </w:p>
        </w:tc>
        <w:tc>
          <w:tcPr>
            <w:tcW w:w="851" w:type="dxa"/>
            <w:tcBorders>
              <w:bottom w:val="single" w:sz="4" w:space="0" w:color="auto"/>
            </w:tcBorders>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5.861,99</w:t>
            </w:r>
          </w:p>
        </w:tc>
      </w:tr>
      <w:tr w:rsidR="00313719" w:rsidRPr="00B32E55" w:rsidTr="002E18A2">
        <w:trPr>
          <w:trHeight w:val="117"/>
        </w:trPr>
        <w:tc>
          <w:tcPr>
            <w:tcW w:w="392" w:type="dxa"/>
            <w:tcBorders>
              <w:left w:val="single" w:sz="4" w:space="0" w:color="auto"/>
              <w:bottom w:val="single" w:sz="4" w:space="0" w:color="auto"/>
              <w:right w:val="single" w:sz="4" w:space="0" w:color="auto"/>
            </w:tcBorders>
          </w:tcPr>
          <w:p w:rsidR="00313719" w:rsidRPr="00B32E55" w:rsidRDefault="00313719" w:rsidP="002E18A2">
            <w:pPr>
              <w:spacing w:line="240" w:lineRule="auto"/>
              <w:contextualSpacing/>
              <w:jc w:val="both"/>
              <w:rPr>
                <w:rFonts w:ascii="Garamond" w:hAnsi="Garamond"/>
                <w:sz w:val="16"/>
                <w:szCs w:val="16"/>
              </w:rPr>
            </w:pPr>
          </w:p>
        </w:tc>
        <w:tc>
          <w:tcPr>
            <w:tcW w:w="1276" w:type="dxa"/>
            <w:tcBorders>
              <w:top w:val="single" w:sz="4" w:space="0" w:color="auto"/>
              <w:left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UKUPNO</w:t>
            </w:r>
          </w:p>
        </w:tc>
        <w:tc>
          <w:tcPr>
            <w:tcW w:w="708"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 xml:space="preserve">  57,87</w:t>
            </w:r>
          </w:p>
        </w:tc>
        <w:tc>
          <w:tcPr>
            <w:tcW w:w="993"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-6.257.887</w:t>
            </w:r>
          </w:p>
        </w:tc>
        <w:tc>
          <w:tcPr>
            <w:tcW w:w="992"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23.450.357</w:t>
            </w:r>
          </w:p>
        </w:tc>
        <w:tc>
          <w:tcPr>
            <w:tcW w:w="709"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56,62</w:t>
            </w:r>
          </w:p>
        </w:tc>
        <w:tc>
          <w:tcPr>
            <w:tcW w:w="992"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-6.849.295</w:t>
            </w:r>
          </w:p>
        </w:tc>
        <w:tc>
          <w:tcPr>
            <w:tcW w:w="992"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24.728.985</w:t>
            </w:r>
          </w:p>
        </w:tc>
        <w:tc>
          <w:tcPr>
            <w:tcW w:w="851"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3.791.622</w:t>
            </w:r>
          </w:p>
        </w:tc>
        <w:tc>
          <w:tcPr>
            <w:tcW w:w="850"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3.917,62</w:t>
            </w:r>
          </w:p>
        </w:tc>
        <w:tc>
          <w:tcPr>
            <w:tcW w:w="851"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2.267,17</w:t>
            </w:r>
          </w:p>
        </w:tc>
        <w:tc>
          <w:tcPr>
            <w:tcW w:w="850"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6.184,78</w:t>
            </w:r>
          </w:p>
        </w:tc>
        <w:tc>
          <w:tcPr>
            <w:tcW w:w="851"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4.164,22</w:t>
            </w:r>
          </w:p>
        </w:tc>
        <w:tc>
          <w:tcPr>
            <w:tcW w:w="850" w:type="dxa"/>
            <w:tcBorders>
              <w:top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2.357,79</w:t>
            </w:r>
          </w:p>
        </w:tc>
        <w:tc>
          <w:tcPr>
            <w:tcW w:w="851" w:type="dxa"/>
            <w:tcBorders>
              <w:top w:val="single" w:sz="4" w:space="0" w:color="auto"/>
              <w:bottom w:val="single" w:sz="4" w:space="0" w:color="auto"/>
            </w:tcBorders>
            <w:shd w:val="clear" w:color="auto" w:fill="BFBFBF"/>
          </w:tcPr>
          <w:p w:rsidR="00313719" w:rsidRPr="00B32E55" w:rsidRDefault="00313719" w:rsidP="002E18A2">
            <w:pPr>
              <w:spacing w:line="240" w:lineRule="auto"/>
              <w:contextualSpacing/>
              <w:jc w:val="both"/>
              <w:rPr>
                <w:rFonts w:ascii="Garamond" w:hAnsi="Garamond"/>
                <w:sz w:val="16"/>
                <w:szCs w:val="16"/>
              </w:rPr>
            </w:pPr>
            <w:r w:rsidRPr="00B32E55">
              <w:rPr>
                <w:rFonts w:ascii="Garamond" w:hAnsi="Garamond"/>
                <w:sz w:val="16"/>
                <w:szCs w:val="16"/>
              </w:rPr>
              <w:t>6.522,01</w:t>
            </w:r>
          </w:p>
        </w:tc>
      </w:tr>
    </w:tbl>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pPr>
    </w:p>
    <w:p w:rsidR="00313719" w:rsidRDefault="00313719" w:rsidP="00977027">
      <w:pPr>
        <w:jc w:val="both"/>
        <w:rPr>
          <w:rFonts w:ascii="Arial" w:hAnsi="Arial" w:cs="Arial"/>
          <w:lang w:val="hr-HR"/>
        </w:rPr>
        <w:sectPr w:rsidR="00313719" w:rsidSect="00313719">
          <w:pgSz w:w="15840" w:h="12240" w:orient="landscape"/>
          <w:pgMar w:top="567" w:right="1440" w:bottom="1440" w:left="709" w:header="709" w:footer="709" w:gutter="0"/>
          <w:cols w:space="708"/>
          <w:docGrid w:linePitch="360"/>
        </w:sectPr>
      </w:pPr>
    </w:p>
    <w:p w:rsidR="00313719" w:rsidRDefault="00313719" w:rsidP="00977027">
      <w:pPr>
        <w:jc w:val="both"/>
        <w:rPr>
          <w:rFonts w:ascii="Arial" w:hAnsi="Arial" w:cs="Arial"/>
          <w:lang w:val="hr-HR"/>
        </w:rPr>
      </w:pPr>
    </w:p>
    <w:p w:rsidR="00403C76" w:rsidRPr="00403C76" w:rsidRDefault="00403C76" w:rsidP="00977027">
      <w:pPr>
        <w:jc w:val="both"/>
        <w:rPr>
          <w:rFonts w:ascii="Arial" w:hAnsi="Arial" w:cs="Arial"/>
          <w:lang w:val="hr-HR"/>
        </w:rPr>
      </w:pPr>
      <w:r>
        <w:rPr>
          <w:rFonts w:ascii="Arial" w:hAnsi="Arial" w:cs="Arial"/>
          <w:lang w:val="hr-HR"/>
        </w:rPr>
        <w:t>Kao što se vidi iz tabele broj 5.</w:t>
      </w:r>
      <w:r w:rsidR="00A338B4">
        <w:rPr>
          <w:rFonts w:ascii="Arial" w:hAnsi="Arial" w:cs="Arial"/>
          <w:lang w:val="hr-HR"/>
        </w:rPr>
        <w:t>,</w:t>
      </w:r>
      <w:r>
        <w:rPr>
          <w:rFonts w:ascii="Arial" w:hAnsi="Arial" w:cs="Arial"/>
          <w:lang w:val="hr-HR"/>
        </w:rPr>
        <w:t xml:space="preserve"> pokrivenost uvoza izvozom </w:t>
      </w:r>
      <w:r w:rsidR="00A338B4">
        <w:rPr>
          <w:rFonts w:ascii="Arial" w:hAnsi="Arial" w:cs="Arial"/>
        </w:rPr>
        <w:t xml:space="preserve">iznosi </w:t>
      </w:r>
      <w:r w:rsidRPr="00403C76">
        <w:rPr>
          <w:rFonts w:ascii="Arial" w:hAnsi="Arial" w:cs="Arial"/>
        </w:rPr>
        <w:t>135,40 % ( na svaki 100  KM  uvezene  robe  i  usluga  izvezeno je  135,40 KM ) što  predstavlja  najveću  pokrivenost  uvoza izvozom u  Federciji B</w:t>
      </w:r>
      <w:r>
        <w:rPr>
          <w:rFonts w:ascii="Arial" w:hAnsi="Arial" w:cs="Arial"/>
        </w:rPr>
        <w:t xml:space="preserve">osne i </w:t>
      </w:r>
      <w:r w:rsidRPr="00403C76">
        <w:rPr>
          <w:rFonts w:ascii="Arial" w:hAnsi="Arial" w:cs="Arial"/>
        </w:rPr>
        <w:t>H</w:t>
      </w:r>
      <w:r>
        <w:rPr>
          <w:rFonts w:ascii="Arial" w:hAnsi="Arial" w:cs="Arial"/>
        </w:rPr>
        <w:t>ercegovine</w:t>
      </w:r>
      <w:r w:rsidRPr="00403C76">
        <w:rPr>
          <w:rFonts w:ascii="Arial" w:hAnsi="Arial" w:cs="Arial"/>
        </w:rPr>
        <w:t xml:space="preserve">. Osim  </w:t>
      </w:r>
      <w:r>
        <w:rPr>
          <w:rFonts w:ascii="Arial" w:hAnsi="Arial" w:cs="Arial"/>
        </w:rPr>
        <w:t>Bosansko-podrinjskog kantona Goražde</w:t>
      </w:r>
      <w:r w:rsidRPr="00403C76">
        <w:rPr>
          <w:rFonts w:ascii="Arial" w:hAnsi="Arial" w:cs="Arial"/>
        </w:rPr>
        <w:t xml:space="preserve"> platni suficit  u  spoljnotrgovinskoj razmjeni  u  državi  BiH  ostvarilo  je  još samo Trebinje, čija  pokrivenost  uvoza  izvozom  iznosu  134,87</w:t>
      </w:r>
      <w:r w:rsidR="00D95BC5">
        <w:rPr>
          <w:rFonts w:ascii="Arial" w:hAnsi="Arial" w:cs="Arial"/>
        </w:rPr>
        <w:t>%</w:t>
      </w:r>
      <w:r w:rsidR="009C3300">
        <w:rPr>
          <w:rFonts w:ascii="Arial" w:hAnsi="Arial" w:cs="Arial"/>
        </w:rPr>
        <w:t>, i Zeničko-dobojski kanton 105,10%</w:t>
      </w:r>
      <w:r w:rsidRPr="00403C76">
        <w:rPr>
          <w:rFonts w:ascii="Arial" w:hAnsi="Arial" w:cs="Arial"/>
        </w:rPr>
        <w:t xml:space="preserve"> </w:t>
      </w:r>
      <w:r w:rsidR="00A338B4">
        <w:rPr>
          <w:rFonts w:ascii="Arial" w:hAnsi="Arial" w:cs="Arial"/>
        </w:rPr>
        <w:t>,</w:t>
      </w:r>
      <w:r w:rsidRPr="00403C76">
        <w:rPr>
          <w:rFonts w:ascii="Arial" w:hAnsi="Arial" w:cs="Arial"/>
        </w:rPr>
        <w:t>a svi  ostali  kantoni u F</w:t>
      </w:r>
      <w:r>
        <w:rPr>
          <w:rFonts w:ascii="Arial" w:hAnsi="Arial" w:cs="Arial"/>
        </w:rPr>
        <w:t xml:space="preserve">ederaciji Bosne i </w:t>
      </w:r>
      <w:r w:rsidR="00A338B4">
        <w:rPr>
          <w:rFonts w:ascii="Arial" w:hAnsi="Arial" w:cs="Arial"/>
        </w:rPr>
        <w:t>H</w:t>
      </w:r>
      <w:r>
        <w:rPr>
          <w:rFonts w:ascii="Arial" w:hAnsi="Arial" w:cs="Arial"/>
        </w:rPr>
        <w:t>ercegovine</w:t>
      </w:r>
      <w:r w:rsidRPr="00403C76">
        <w:rPr>
          <w:rFonts w:ascii="Arial" w:hAnsi="Arial" w:cs="Arial"/>
        </w:rPr>
        <w:t>, regije  u  R</w:t>
      </w:r>
      <w:r>
        <w:rPr>
          <w:rFonts w:ascii="Arial" w:hAnsi="Arial" w:cs="Arial"/>
        </w:rPr>
        <w:t xml:space="preserve">epublici </w:t>
      </w:r>
      <w:r w:rsidRPr="00403C76">
        <w:rPr>
          <w:rFonts w:ascii="Arial" w:hAnsi="Arial" w:cs="Arial"/>
        </w:rPr>
        <w:t>S</w:t>
      </w:r>
      <w:r>
        <w:rPr>
          <w:rFonts w:ascii="Arial" w:hAnsi="Arial" w:cs="Arial"/>
        </w:rPr>
        <w:t>rpskoj</w:t>
      </w:r>
      <w:r w:rsidRPr="00403C76">
        <w:rPr>
          <w:rFonts w:ascii="Arial" w:hAnsi="Arial" w:cs="Arial"/>
        </w:rPr>
        <w:t xml:space="preserve">  i  Brčko  distrikt  imaju  </w:t>
      </w:r>
      <w:r>
        <w:rPr>
          <w:rFonts w:ascii="Arial" w:hAnsi="Arial" w:cs="Arial"/>
        </w:rPr>
        <w:t>izrazito</w:t>
      </w:r>
      <w:r w:rsidRPr="00403C76">
        <w:rPr>
          <w:rFonts w:ascii="Arial" w:hAnsi="Arial" w:cs="Arial"/>
        </w:rPr>
        <w:t xml:space="preserve"> negativan  spoljni-trgovinski  platni  bilans.</w:t>
      </w:r>
    </w:p>
    <w:p w:rsidR="00BA1503" w:rsidRPr="00722A9D" w:rsidRDefault="00F54BA0" w:rsidP="00977027">
      <w:pPr>
        <w:shd w:val="clear" w:color="auto" w:fill="FFFFFF"/>
        <w:jc w:val="both"/>
        <w:rPr>
          <w:rFonts w:ascii="Arial" w:hAnsi="Arial" w:cs="Arial"/>
        </w:rPr>
      </w:pPr>
      <w:r>
        <w:rPr>
          <w:rFonts w:ascii="Arial" w:hAnsi="Arial" w:cs="Arial"/>
        </w:rPr>
        <w:t>U vezi s</w:t>
      </w:r>
      <w:r w:rsidR="009E2259">
        <w:rPr>
          <w:rFonts w:ascii="Arial" w:hAnsi="Arial" w:cs="Arial"/>
        </w:rPr>
        <w:t xml:space="preserve"> navedenim</w:t>
      </w:r>
      <w:r w:rsidR="00A338B4">
        <w:rPr>
          <w:rFonts w:ascii="Arial" w:hAnsi="Arial" w:cs="Arial"/>
        </w:rPr>
        <w:t>,</w:t>
      </w:r>
      <w:r w:rsidR="009E2259">
        <w:rPr>
          <w:rFonts w:ascii="Arial" w:hAnsi="Arial" w:cs="Arial"/>
        </w:rPr>
        <w:t xml:space="preserve"> bitno je napomenuti da je</w:t>
      </w:r>
      <w:r w:rsidR="00BA1503" w:rsidRPr="00722A9D">
        <w:rPr>
          <w:rFonts w:ascii="Arial" w:hAnsi="Arial" w:cs="Arial"/>
        </w:rPr>
        <w:t xml:space="preserve"> u period</w:t>
      </w:r>
      <w:r w:rsidR="009E2259">
        <w:rPr>
          <w:rFonts w:ascii="Arial" w:hAnsi="Arial" w:cs="Arial"/>
        </w:rPr>
        <w:t>u</w:t>
      </w:r>
      <w:r w:rsidR="00BA1503" w:rsidRPr="00722A9D">
        <w:rPr>
          <w:rFonts w:ascii="Arial" w:hAnsi="Arial" w:cs="Arial"/>
        </w:rPr>
        <w:t xml:space="preserve"> od 01.01-31.12. 2014 godine na  područje  Bosansko-podrinjsk</w:t>
      </w:r>
      <w:r w:rsidR="009C3300">
        <w:rPr>
          <w:rFonts w:ascii="Arial" w:hAnsi="Arial" w:cs="Arial"/>
        </w:rPr>
        <w:t>og kantona Goražde  uvezeno</w:t>
      </w:r>
      <w:r w:rsidR="00BA1503" w:rsidRPr="00722A9D">
        <w:rPr>
          <w:rFonts w:ascii="Arial" w:hAnsi="Arial" w:cs="Arial"/>
        </w:rPr>
        <w:t xml:space="preserve"> roba  i  usluga  u  vrijednosti   118.644.000 KM</w:t>
      </w:r>
      <w:r w:rsidR="009C3300">
        <w:rPr>
          <w:rFonts w:ascii="Arial" w:hAnsi="Arial" w:cs="Arial"/>
        </w:rPr>
        <w:t>,</w:t>
      </w:r>
      <w:r w:rsidR="00BA1503" w:rsidRPr="00722A9D">
        <w:rPr>
          <w:rFonts w:ascii="Arial" w:hAnsi="Arial" w:cs="Arial"/>
        </w:rPr>
        <w:t xml:space="preserve">  što  je  za  22.851.000  KM</w:t>
      </w:r>
      <w:r w:rsidR="009C3300">
        <w:rPr>
          <w:rFonts w:ascii="Arial" w:hAnsi="Arial" w:cs="Arial"/>
        </w:rPr>
        <w:t>,  odnosno 23,85 %</w:t>
      </w:r>
      <w:r w:rsidR="00BA1503" w:rsidRPr="00722A9D">
        <w:rPr>
          <w:rFonts w:ascii="Arial" w:hAnsi="Arial" w:cs="Arial"/>
        </w:rPr>
        <w:t xml:space="preserve"> više  </w:t>
      </w:r>
      <w:r w:rsidR="009C3300">
        <w:rPr>
          <w:rFonts w:ascii="Arial" w:hAnsi="Arial" w:cs="Arial"/>
        </w:rPr>
        <w:t>nego  u  istom  periodu  2013.</w:t>
      </w:r>
      <w:r w:rsidR="00BA1503" w:rsidRPr="00722A9D">
        <w:rPr>
          <w:rFonts w:ascii="Arial" w:hAnsi="Arial" w:cs="Arial"/>
        </w:rPr>
        <w:t>godine. Bitno je napomenuti da je u navedenom period</w:t>
      </w:r>
      <w:r w:rsidR="009C3300">
        <w:rPr>
          <w:rFonts w:ascii="Arial" w:hAnsi="Arial" w:cs="Arial"/>
        </w:rPr>
        <w:t>u</w:t>
      </w:r>
      <w:r w:rsidR="00BA1503" w:rsidRPr="00722A9D">
        <w:rPr>
          <w:rFonts w:ascii="Arial" w:hAnsi="Arial" w:cs="Arial"/>
        </w:rPr>
        <w:t xml:space="preserve"> Bosansko-podrinjski kanton Goražde  učestvovao  sa  1,20 %  u  ukupnom  uvozu  roba  u  Federacije Bosne i Her</w:t>
      </w:r>
      <w:r w:rsidR="009C3300">
        <w:rPr>
          <w:rFonts w:ascii="Arial" w:hAnsi="Arial" w:cs="Arial"/>
        </w:rPr>
        <w:t xml:space="preserve">cegovine, odnosno sa 0,75 % u </w:t>
      </w:r>
      <w:r w:rsidR="00BA1503" w:rsidRPr="00722A9D">
        <w:rPr>
          <w:rFonts w:ascii="Arial" w:hAnsi="Arial" w:cs="Arial"/>
        </w:rPr>
        <w:t>ukupnom  uvozu  roba  Bosne i Hercegovine.</w:t>
      </w:r>
      <w:r w:rsidR="00722A9D">
        <w:rPr>
          <w:rFonts w:ascii="Arial" w:hAnsi="Arial" w:cs="Arial"/>
        </w:rPr>
        <w:t xml:space="preserve"> </w:t>
      </w:r>
      <w:r w:rsidR="009C3300">
        <w:rPr>
          <w:rFonts w:ascii="Arial" w:hAnsi="Arial" w:cs="Arial"/>
        </w:rPr>
        <w:t xml:space="preserve">U </w:t>
      </w:r>
      <w:r w:rsidR="00A338B4">
        <w:rPr>
          <w:rFonts w:ascii="Arial" w:hAnsi="Arial" w:cs="Arial"/>
        </w:rPr>
        <w:t>posmatranom  periodu  s</w:t>
      </w:r>
      <w:r w:rsidR="00BA1503" w:rsidRPr="00722A9D">
        <w:rPr>
          <w:rFonts w:ascii="Arial" w:hAnsi="Arial" w:cs="Arial"/>
        </w:rPr>
        <w:t xml:space="preserve">  područja  Bosansk</w:t>
      </w:r>
      <w:r w:rsidR="009C3300">
        <w:rPr>
          <w:rFonts w:ascii="Arial" w:hAnsi="Arial" w:cs="Arial"/>
        </w:rPr>
        <w:t xml:space="preserve">o-podrinjskog kantona Goražde </w:t>
      </w:r>
      <w:r w:rsidR="00BA1503" w:rsidRPr="00722A9D">
        <w:rPr>
          <w:rFonts w:ascii="Arial" w:hAnsi="Arial" w:cs="Arial"/>
        </w:rPr>
        <w:t>izvezeno  je  roba  i  uslu</w:t>
      </w:r>
      <w:r w:rsidR="009C3300">
        <w:rPr>
          <w:rFonts w:ascii="Arial" w:hAnsi="Arial" w:cs="Arial"/>
        </w:rPr>
        <w:t xml:space="preserve">ga  u  vrijednosti   160.641.00 KM, što  je 31.584.000 </w:t>
      </w:r>
      <w:r w:rsidR="00BA1503" w:rsidRPr="00722A9D">
        <w:rPr>
          <w:rFonts w:ascii="Arial" w:hAnsi="Arial" w:cs="Arial"/>
        </w:rPr>
        <w:t>KM</w:t>
      </w:r>
      <w:r w:rsidR="009C3300">
        <w:rPr>
          <w:rFonts w:ascii="Arial" w:hAnsi="Arial" w:cs="Arial"/>
        </w:rPr>
        <w:t xml:space="preserve">, </w:t>
      </w:r>
      <w:r w:rsidR="00BA1503" w:rsidRPr="00722A9D">
        <w:rPr>
          <w:rFonts w:ascii="Arial" w:hAnsi="Arial" w:cs="Arial"/>
        </w:rPr>
        <w:t>odnosno 24,47% više  nego  u  istom  periodu  pre</w:t>
      </w:r>
      <w:r w:rsidR="00A338B4">
        <w:rPr>
          <w:rFonts w:ascii="Arial" w:hAnsi="Arial" w:cs="Arial"/>
        </w:rPr>
        <w:t>t</w:t>
      </w:r>
      <w:r w:rsidR="00BA1503" w:rsidRPr="00722A9D">
        <w:rPr>
          <w:rFonts w:ascii="Arial" w:hAnsi="Arial" w:cs="Arial"/>
        </w:rPr>
        <w:t>hodne  godine. Bosansko</w:t>
      </w:r>
      <w:r w:rsidR="009C3300">
        <w:rPr>
          <w:rFonts w:ascii="Arial" w:hAnsi="Arial" w:cs="Arial"/>
        </w:rPr>
        <w:t>-podrinjsk</w:t>
      </w:r>
      <w:r>
        <w:rPr>
          <w:rFonts w:ascii="Arial" w:hAnsi="Arial" w:cs="Arial"/>
        </w:rPr>
        <w:t>i kanton</w:t>
      </w:r>
      <w:r w:rsidR="009C3300">
        <w:rPr>
          <w:rFonts w:ascii="Arial" w:hAnsi="Arial" w:cs="Arial"/>
        </w:rPr>
        <w:t xml:space="preserve"> Goražde </w:t>
      </w:r>
      <w:r w:rsidR="00BA1503" w:rsidRPr="00722A9D">
        <w:rPr>
          <w:rFonts w:ascii="Arial" w:hAnsi="Arial" w:cs="Arial"/>
        </w:rPr>
        <w:t>u  uku</w:t>
      </w:r>
      <w:r>
        <w:rPr>
          <w:rFonts w:ascii="Arial" w:hAnsi="Arial" w:cs="Arial"/>
        </w:rPr>
        <w:t>pnom  izvozu roba  i  usluga  s</w:t>
      </w:r>
      <w:r w:rsidR="00BA1503" w:rsidRPr="00722A9D">
        <w:rPr>
          <w:rFonts w:ascii="Arial" w:hAnsi="Arial" w:cs="Arial"/>
        </w:rPr>
        <w:t xml:space="preserve">  područja  Federacije Bosne i Hercegovine učestvuje  sa  2,72 %, odn</w:t>
      </w:r>
      <w:r w:rsidR="009C3300">
        <w:rPr>
          <w:rFonts w:ascii="Arial" w:hAnsi="Arial" w:cs="Arial"/>
        </w:rPr>
        <w:t xml:space="preserve">osno sa 1,80 % u  ukupnom izvozu roba </w:t>
      </w:r>
      <w:r w:rsidR="00BA1503" w:rsidRPr="00722A9D">
        <w:rPr>
          <w:rFonts w:ascii="Arial" w:hAnsi="Arial" w:cs="Arial"/>
        </w:rPr>
        <w:t xml:space="preserve">Bosne i Hercegovine. U strukturi uvezenih roba najviše učestvuje repromaterijal koji koriste privredna društva koji </w:t>
      </w:r>
      <w:r>
        <w:rPr>
          <w:rFonts w:ascii="Arial" w:hAnsi="Arial" w:cs="Arial"/>
        </w:rPr>
        <w:t>su ujedno i najveći izvoznici s</w:t>
      </w:r>
      <w:r w:rsidR="00BA1503" w:rsidRPr="00722A9D">
        <w:rPr>
          <w:rFonts w:ascii="Arial" w:hAnsi="Arial" w:cs="Arial"/>
        </w:rPr>
        <w:t xml:space="preserve"> našeg kantona, a što implicira i rastu izvoza. Iz navedenog razloga</w:t>
      </w:r>
      <w:r>
        <w:rPr>
          <w:rFonts w:ascii="Arial" w:hAnsi="Arial" w:cs="Arial"/>
        </w:rPr>
        <w:t>,</w:t>
      </w:r>
      <w:r w:rsidR="00BA1503" w:rsidRPr="00722A9D">
        <w:rPr>
          <w:rFonts w:ascii="Arial" w:hAnsi="Arial" w:cs="Arial"/>
        </w:rPr>
        <w:t xml:space="preserve"> rast </w:t>
      </w:r>
      <w:r w:rsidR="00807128">
        <w:rPr>
          <w:rFonts w:ascii="Arial" w:hAnsi="Arial" w:cs="Arial"/>
        </w:rPr>
        <w:t>izvoza</w:t>
      </w:r>
      <w:r w:rsidR="00BA1503" w:rsidRPr="00722A9D">
        <w:rPr>
          <w:rFonts w:ascii="Arial" w:hAnsi="Arial" w:cs="Arial"/>
        </w:rPr>
        <w:t xml:space="preserve"> je brži i veći od rasta </w:t>
      </w:r>
      <w:r w:rsidR="00807128">
        <w:rPr>
          <w:rFonts w:ascii="Arial" w:hAnsi="Arial" w:cs="Arial"/>
        </w:rPr>
        <w:t>uvo</w:t>
      </w:r>
      <w:r w:rsidR="00BA1503" w:rsidRPr="00722A9D">
        <w:rPr>
          <w:rFonts w:ascii="Arial" w:hAnsi="Arial" w:cs="Arial"/>
        </w:rPr>
        <w:t>za.</w:t>
      </w:r>
      <w:r w:rsidR="00722A9D">
        <w:rPr>
          <w:rFonts w:ascii="Arial" w:hAnsi="Arial" w:cs="Arial"/>
        </w:rPr>
        <w:t xml:space="preserve"> </w:t>
      </w:r>
      <w:r w:rsidR="00722A9D" w:rsidRPr="00722A9D">
        <w:rPr>
          <w:rFonts w:ascii="Arial" w:hAnsi="Arial" w:cs="Arial"/>
        </w:rPr>
        <w:t xml:space="preserve">U  ove  izvozne  rezultate  nije  uračunat  izvoz </w:t>
      </w:r>
      <w:r w:rsidR="00722A9D">
        <w:rPr>
          <w:rFonts w:ascii="Arial" w:hAnsi="Arial" w:cs="Arial"/>
        </w:rPr>
        <w:t xml:space="preserve">svih </w:t>
      </w:r>
      <w:r w:rsidR="00722A9D" w:rsidRPr="00722A9D">
        <w:rPr>
          <w:rFonts w:ascii="Arial" w:hAnsi="Arial" w:cs="Arial"/>
        </w:rPr>
        <w:t xml:space="preserve"> privredn</w:t>
      </w:r>
      <w:r w:rsidR="00722A9D">
        <w:rPr>
          <w:rFonts w:ascii="Arial" w:hAnsi="Arial" w:cs="Arial"/>
        </w:rPr>
        <w:t>ih</w:t>
      </w:r>
      <w:r w:rsidR="00722A9D" w:rsidRPr="00722A9D">
        <w:rPr>
          <w:rFonts w:ascii="Arial" w:hAnsi="Arial" w:cs="Arial"/>
        </w:rPr>
        <w:t xml:space="preserve">  društ</w:t>
      </w:r>
      <w:r w:rsidR="00722A9D">
        <w:rPr>
          <w:rFonts w:ascii="Arial" w:hAnsi="Arial" w:cs="Arial"/>
        </w:rPr>
        <w:t>ava</w:t>
      </w:r>
      <w:r>
        <w:rPr>
          <w:rFonts w:ascii="Arial" w:hAnsi="Arial" w:cs="Arial"/>
        </w:rPr>
        <w:t>,</w:t>
      </w:r>
      <w:r w:rsidR="00722A9D">
        <w:rPr>
          <w:rFonts w:ascii="Arial" w:hAnsi="Arial" w:cs="Arial"/>
        </w:rPr>
        <w:t xml:space="preserve"> među kojima su i neki od najvećih </w:t>
      </w:r>
      <w:r w:rsidR="00722A9D" w:rsidRPr="00722A9D">
        <w:rPr>
          <w:rFonts w:ascii="Arial" w:hAnsi="Arial" w:cs="Arial"/>
        </w:rPr>
        <w:t>privredn</w:t>
      </w:r>
      <w:r w:rsidR="00722A9D">
        <w:rPr>
          <w:rFonts w:ascii="Arial" w:hAnsi="Arial" w:cs="Arial"/>
        </w:rPr>
        <w:t>ih</w:t>
      </w:r>
      <w:r w:rsidR="00722A9D" w:rsidRPr="00722A9D">
        <w:rPr>
          <w:rFonts w:ascii="Arial" w:hAnsi="Arial" w:cs="Arial"/>
        </w:rPr>
        <w:t xml:space="preserve"> subjek</w:t>
      </w:r>
      <w:r w:rsidR="00722A9D">
        <w:rPr>
          <w:rFonts w:ascii="Arial" w:hAnsi="Arial" w:cs="Arial"/>
        </w:rPr>
        <w:t>a</w:t>
      </w:r>
      <w:r w:rsidR="00722A9D" w:rsidRPr="00722A9D">
        <w:rPr>
          <w:rFonts w:ascii="Arial" w:hAnsi="Arial" w:cs="Arial"/>
        </w:rPr>
        <w:t>t</w:t>
      </w:r>
      <w:r w:rsidR="00722A9D">
        <w:rPr>
          <w:rFonts w:ascii="Arial" w:hAnsi="Arial" w:cs="Arial"/>
        </w:rPr>
        <w:t>a</w:t>
      </w:r>
      <w:r>
        <w:rPr>
          <w:rFonts w:ascii="Arial" w:hAnsi="Arial" w:cs="Arial"/>
        </w:rPr>
        <w:t>,</w:t>
      </w:r>
      <w:r w:rsidR="00722A9D" w:rsidRPr="00722A9D">
        <w:rPr>
          <w:rFonts w:ascii="Arial" w:hAnsi="Arial" w:cs="Arial"/>
        </w:rPr>
        <w:t xml:space="preserve"> </w:t>
      </w:r>
      <w:r w:rsidR="00722A9D">
        <w:rPr>
          <w:rFonts w:ascii="Arial" w:hAnsi="Arial" w:cs="Arial"/>
        </w:rPr>
        <w:t xml:space="preserve">odnosno među kojima su i privredni subjekti </w:t>
      </w:r>
      <w:r w:rsidR="00722A9D" w:rsidRPr="00722A9D">
        <w:rPr>
          <w:rFonts w:ascii="Arial" w:hAnsi="Arial" w:cs="Arial"/>
        </w:rPr>
        <w:t xml:space="preserve">koji trenutno </w:t>
      </w:r>
      <w:r w:rsidR="00722A9D">
        <w:rPr>
          <w:rFonts w:ascii="Arial" w:hAnsi="Arial" w:cs="Arial"/>
        </w:rPr>
        <w:t xml:space="preserve">imaju </w:t>
      </w:r>
      <w:r w:rsidR="009C3300">
        <w:rPr>
          <w:rFonts w:ascii="Arial" w:hAnsi="Arial" w:cs="Arial"/>
        </w:rPr>
        <w:t>najveći b</w:t>
      </w:r>
      <w:r w:rsidR="00722A9D" w:rsidRPr="00722A9D">
        <w:rPr>
          <w:rFonts w:ascii="Arial" w:hAnsi="Arial" w:cs="Arial"/>
        </w:rPr>
        <w:t xml:space="preserve">roj zaposlenih na području Bosansko-podrinjskog kantona Goražde obzirom da </w:t>
      </w:r>
      <w:r w:rsidR="00722A9D">
        <w:rPr>
          <w:rFonts w:ascii="Arial" w:hAnsi="Arial" w:cs="Arial"/>
        </w:rPr>
        <w:t>isti</w:t>
      </w:r>
      <w:r w:rsidR="00722A9D" w:rsidRPr="00722A9D">
        <w:rPr>
          <w:rFonts w:ascii="Arial" w:hAnsi="Arial" w:cs="Arial"/>
        </w:rPr>
        <w:t xml:space="preserve"> svoje  spoljnotrgovinsko  poslovanje  obavlja</w:t>
      </w:r>
      <w:r w:rsidR="00722A9D">
        <w:rPr>
          <w:rFonts w:ascii="Arial" w:hAnsi="Arial" w:cs="Arial"/>
        </w:rPr>
        <w:t>ju</w:t>
      </w:r>
      <w:r w:rsidR="00722A9D" w:rsidRPr="00722A9D">
        <w:rPr>
          <w:rFonts w:ascii="Arial" w:hAnsi="Arial" w:cs="Arial"/>
        </w:rPr>
        <w:t xml:space="preserve">  preko  </w:t>
      </w:r>
      <w:r w:rsidR="00722A9D">
        <w:rPr>
          <w:rFonts w:ascii="Arial" w:hAnsi="Arial" w:cs="Arial"/>
        </w:rPr>
        <w:t>ili u okviru</w:t>
      </w:r>
      <w:r w:rsidR="00722A9D" w:rsidRPr="00722A9D">
        <w:rPr>
          <w:rFonts w:ascii="Arial" w:hAnsi="Arial" w:cs="Arial"/>
        </w:rPr>
        <w:t xml:space="preserve">  privrednog  društva</w:t>
      </w:r>
      <w:r w:rsidR="009C3300">
        <w:rPr>
          <w:rFonts w:ascii="Arial" w:hAnsi="Arial" w:cs="Arial"/>
        </w:rPr>
        <w:t xml:space="preserve">  </w:t>
      </w:r>
      <w:r w:rsidR="00722A9D" w:rsidRPr="00722A9D">
        <w:rPr>
          <w:rFonts w:ascii="Arial" w:hAnsi="Arial" w:cs="Arial"/>
        </w:rPr>
        <w:t>koje  je  registrovano  van  područja Bosansko-podrinjskog kantona Goražde.</w:t>
      </w:r>
    </w:p>
    <w:p w:rsidR="000E4CAC" w:rsidRPr="00B171B8" w:rsidRDefault="00722A9D" w:rsidP="00977027">
      <w:pPr>
        <w:jc w:val="both"/>
        <w:rPr>
          <w:rFonts w:ascii="Arial" w:hAnsi="Arial" w:cs="Arial"/>
          <w:lang w:val="hr-HR"/>
        </w:rPr>
      </w:pPr>
      <w:r>
        <w:rPr>
          <w:rFonts w:ascii="Arial" w:hAnsi="Arial" w:cs="Arial"/>
          <w:lang w:val="hr-HR"/>
        </w:rPr>
        <w:t xml:space="preserve">U vezi </w:t>
      </w:r>
      <w:r w:rsidR="00F54BA0">
        <w:rPr>
          <w:rFonts w:ascii="Arial" w:hAnsi="Arial" w:cs="Arial"/>
          <w:lang w:val="hr-HR"/>
        </w:rPr>
        <w:t>s</w:t>
      </w:r>
      <w:r>
        <w:rPr>
          <w:rFonts w:ascii="Arial" w:hAnsi="Arial" w:cs="Arial"/>
          <w:lang w:val="hr-HR"/>
        </w:rPr>
        <w:t xml:space="preserve"> navedenim</w:t>
      </w:r>
      <w:r w:rsidR="00F54BA0">
        <w:rPr>
          <w:rFonts w:ascii="Arial" w:hAnsi="Arial" w:cs="Arial"/>
          <w:lang w:val="hr-HR"/>
        </w:rPr>
        <w:t>,</w:t>
      </w:r>
      <w:r>
        <w:rPr>
          <w:rFonts w:ascii="Arial" w:hAnsi="Arial" w:cs="Arial"/>
          <w:lang w:val="hr-HR"/>
        </w:rPr>
        <w:t xml:space="preserve"> bitno je napomenuti da r</w:t>
      </w:r>
      <w:r w:rsidR="00D263E5" w:rsidRPr="00B171B8">
        <w:rPr>
          <w:rFonts w:ascii="Arial" w:hAnsi="Arial" w:cs="Arial"/>
        </w:rPr>
        <w:t>azvojna ekonomska politika u svakoj zemlji podrazum</w:t>
      </w:r>
      <w:r w:rsidR="00F54BA0">
        <w:rPr>
          <w:rFonts w:ascii="Arial" w:hAnsi="Arial" w:cs="Arial"/>
        </w:rPr>
        <w:t>i</w:t>
      </w:r>
      <w:r w:rsidR="00D263E5" w:rsidRPr="00B171B8">
        <w:rPr>
          <w:rFonts w:ascii="Arial" w:hAnsi="Arial" w:cs="Arial"/>
        </w:rPr>
        <w:t>jeva direktno i indirektno stimulisanje izvozno orjentisane proizvodnje. Kada se govori o indirektnom stimulisanju izvozno orjentisane proizvodnje uv</w:t>
      </w:r>
      <w:r w:rsidR="00D22134">
        <w:rPr>
          <w:rFonts w:ascii="Arial" w:hAnsi="Arial" w:cs="Arial"/>
        </w:rPr>
        <w:t>i</w:t>
      </w:r>
      <w:r w:rsidR="00D263E5" w:rsidRPr="00B171B8">
        <w:rPr>
          <w:rFonts w:ascii="Arial" w:hAnsi="Arial" w:cs="Arial"/>
        </w:rPr>
        <w:t xml:space="preserve">jek se misli na stvaranje povoljnijih uslova za poslovanje kroz izgradnju i održavanje potrebne </w:t>
      </w:r>
      <w:r w:rsidR="009C3300">
        <w:rPr>
          <w:rFonts w:ascii="Arial" w:hAnsi="Arial" w:cs="Arial"/>
        </w:rPr>
        <w:t>infrastru</w:t>
      </w:r>
      <w:r w:rsidR="00D22134">
        <w:rPr>
          <w:rFonts w:ascii="Arial" w:hAnsi="Arial" w:cs="Arial"/>
        </w:rPr>
        <w:t>k</w:t>
      </w:r>
      <w:r w:rsidR="009C3300">
        <w:rPr>
          <w:rFonts w:ascii="Arial" w:hAnsi="Arial" w:cs="Arial"/>
        </w:rPr>
        <w:t>ture,</w:t>
      </w:r>
      <w:r w:rsidR="00D263E5" w:rsidRPr="00B171B8">
        <w:rPr>
          <w:rFonts w:ascii="Arial" w:hAnsi="Arial" w:cs="Arial"/>
        </w:rPr>
        <w:t xml:space="preserve"> te izgradnu jakih i efikasnih institucija sistema. Za sve navedeno Bosansko-podrinjskom kant</w:t>
      </w:r>
      <w:r w:rsidR="009E2259">
        <w:rPr>
          <w:rFonts w:ascii="Arial" w:hAnsi="Arial" w:cs="Arial"/>
        </w:rPr>
        <w:t>onu Goražde su potrebna značajno</w:t>
      </w:r>
      <w:r w:rsidR="00D263E5" w:rsidRPr="00B171B8">
        <w:rPr>
          <w:rFonts w:ascii="Arial" w:hAnsi="Arial" w:cs="Arial"/>
        </w:rPr>
        <w:t xml:space="preserve"> </w:t>
      </w:r>
      <w:r w:rsidR="009E2259">
        <w:rPr>
          <w:rFonts w:ascii="Arial" w:hAnsi="Arial" w:cs="Arial"/>
        </w:rPr>
        <w:t xml:space="preserve">veća </w:t>
      </w:r>
      <w:r w:rsidR="00D263E5" w:rsidRPr="00B171B8">
        <w:rPr>
          <w:rFonts w:ascii="Arial" w:hAnsi="Arial" w:cs="Arial"/>
        </w:rPr>
        <w:t>sredstva od onih koja su do sada bila na raspolaganju</w:t>
      </w:r>
      <w:r w:rsidR="009C3300">
        <w:rPr>
          <w:rFonts w:ascii="Arial" w:hAnsi="Arial" w:cs="Arial"/>
        </w:rPr>
        <w:t>,</w:t>
      </w:r>
      <w:r w:rsidR="009E2259">
        <w:rPr>
          <w:rFonts w:ascii="Arial" w:hAnsi="Arial" w:cs="Arial"/>
        </w:rPr>
        <w:t xml:space="preserve"> a ista bi</w:t>
      </w:r>
      <w:r w:rsidR="009C3300">
        <w:rPr>
          <w:rFonts w:ascii="Arial" w:hAnsi="Arial" w:cs="Arial"/>
        </w:rPr>
        <w:t>,</w:t>
      </w:r>
      <w:r w:rsidR="009E2259">
        <w:rPr>
          <w:rFonts w:ascii="Arial" w:hAnsi="Arial" w:cs="Arial"/>
        </w:rPr>
        <w:t xml:space="preserve"> imajući u vidu značaj pokrivenosti uvoza izvozom za svaku državu</w:t>
      </w:r>
      <w:r w:rsidR="00D22134">
        <w:rPr>
          <w:rFonts w:ascii="Arial" w:hAnsi="Arial" w:cs="Arial"/>
        </w:rPr>
        <w:t>,</w:t>
      </w:r>
      <w:r w:rsidR="009E2259" w:rsidRPr="00B171B8">
        <w:rPr>
          <w:rFonts w:ascii="Arial" w:hAnsi="Arial" w:cs="Arial"/>
        </w:rPr>
        <w:t xml:space="preserve"> Bosansko-podrinjskom kant</w:t>
      </w:r>
      <w:r w:rsidR="009E2259">
        <w:rPr>
          <w:rFonts w:ascii="Arial" w:hAnsi="Arial" w:cs="Arial"/>
        </w:rPr>
        <w:t>onu Goražde trebalo obezb</w:t>
      </w:r>
      <w:r w:rsidR="00D22134">
        <w:rPr>
          <w:rFonts w:ascii="Arial" w:hAnsi="Arial" w:cs="Arial"/>
        </w:rPr>
        <w:t>i</w:t>
      </w:r>
      <w:r w:rsidR="009E2259">
        <w:rPr>
          <w:rFonts w:ascii="Arial" w:hAnsi="Arial" w:cs="Arial"/>
        </w:rPr>
        <w:t>jedit</w:t>
      </w:r>
      <w:r w:rsidR="009C3300">
        <w:rPr>
          <w:rFonts w:ascii="Arial" w:hAnsi="Arial" w:cs="Arial"/>
        </w:rPr>
        <w:t>i</w:t>
      </w:r>
      <w:r w:rsidR="009E2259">
        <w:rPr>
          <w:rFonts w:ascii="Arial" w:hAnsi="Arial" w:cs="Arial"/>
        </w:rPr>
        <w:t xml:space="preserve"> prilikom raspodjele prihoda ili na neki drugi način. </w:t>
      </w:r>
    </w:p>
    <w:p w:rsidR="00CA2D57" w:rsidRDefault="00CA2D57" w:rsidP="00977027">
      <w:pPr>
        <w:pStyle w:val="Default"/>
        <w:spacing w:line="276" w:lineRule="auto"/>
        <w:rPr>
          <w:rFonts w:ascii="Arial" w:hAnsi="Arial" w:cs="Arial"/>
          <w:b/>
          <w:bCs/>
        </w:rPr>
      </w:pPr>
    </w:p>
    <w:p w:rsidR="009E2259" w:rsidRDefault="009E2259" w:rsidP="00977027">
      <w:pPr>
        <w:pStyle w:val="Default"/>
        <w:spacing w:line="276" w:lineRule="auto"/>
        <w:rPr>
          <w:rFonts w:ascii="Arial" w:hAnsi="Arial" w:cs="Arial"/>
          <w:b/>
          <w:bCs/>
        </w:rPr>
      </w:pPr>
    </w:p>
    <w:p w:rsidR="009E2259" w:rsidRDefault="009E2259" w:rsidP="00977027">
      <w:pPr>
        <w:pStyle w:val="Default"/>
        <w:spacing w:line="276" w:lineRule="auto"/>
        <w:rPr>
          <w:rFonts w:ascii="Arial" w:hAnsi="Arial" w:cs="Arial"/>
          <w:b/>
          <w:bCs/>
        </w:rPr>
      </w:pPr>
    </w:p>
    <w:p w:rsidR="009E2259" w:rsidRDefault="009E2259" w:rsidP="008C3988">
      <w:pPr>
        <w:pStyle w:val="Default"/>
        <w:rPr>
          <w:rFonts w:ascii="Arial" w:hAnsi="Arial" w:cs="Arial"/>
          <w:b/>
          <w:bCs/>
        </w:rPr>
      </w:pPr>
    </w:p>
    <w:p w:rsidR="009C3300" w:rsidRDefault="009C3300" w:rsidP="008C3988">
      <w:pPr>
        <w:pStyle w:val="Default"/>
        <w:rPr>
          <w:rFonts w:ascii="Arial" w:hAnsi="Arial" w:cs="Arial"/>
          <w:b/>
          <w:bCs/>
        </w:rPr>
      </w:pPr>
    </w:p>
    <w:p w:rsidR="009C3300" w:rsidRDefault="009C3300" w:rsidP="008C3988">
      <w:pPr>
        <w:pStyle w:val="Default"/>
        <w:rPr>
          <w:rFonts w:ascii="Arial" w:hAnsi="Arial" w:cs="Arial"/>
          <w:b/>
          <w:bCs/>
        </w:rPr>
      </w:pPr>
    </w:p>
    <w:p w:rsidR="009C3300" w:rsidRDefault="009C3300" w:rsidP="008C3988">
      <w:pPr>
        <w:pStyle w:val="Default"/>
        <w:rPr>
          <w:rFonts w:ascii="Arial" w:hAnsi="Arial" w:cs="Arial"/>
          <w:b/>
          <w:bCs/>
        </w:rPr>
      </w:pPr>
    </w:p>
    <w:p w:rsidR="006F7C1A" w:rsidRDefault="006F7C1A" w:rsidP="008C3988">
      <w:pPr>
        <w:pStyle w:val="Default"/>
        <w:rPr>
          <w:rFonts w:ascii="Arial" w:hAnsi="Arial" w:cs="Arial"/>
          <w:b/>
          <w:bCs/>
        </w:rPr>
      </w:pPr>
    </w:p>
    <w:p w:rsidR="006F7C1A" w:rsidRDefault="006F7C1A" w:rsidP="008C3988">
      <w:pPr>
        <w:pStyle w:val="Default"/>
        <w:rPr>
          <w:rFonts w:ascii="Arial" w:hAnsi="Arial" w:cs="Arial"/>
          <w:b/>
          <w:bCs/>
        </w:rPr>
      </w:pPr>
    </w:p>
    <w:p w:rsidR="006F7C1A" w:rsidRDefault="006F7C1A" w:rsidP="008C3988">
      <w:pPr>
        <w:pStyle w:val="Default"/>
        <w:rPr>
          <w:rFonts w:ascii="Arial" w:hAnsi="Arial" w:cs="Arial"/>
          <w:b/>
          <w:bCs/>
        </w:rPr>
      </w:pPr>
    </w:p>
    <w:p w:rsidR="006F7C1A" w:rsidRDefault="006F7C1A" w:rsidP="008C3988">
      <w:pPr>
        <w:pStyle w:val="Default"/>
        <w:rPr>
          <w:rFonts w:ascii="Arial" w:hAnsi="Arial" w:cs="Arial"/>
          <w:b/>
          <w:bCs/>
        </w:rPr>
      </w:pPr>
    </w:p>
    <w:p w:rsidR="00313719" w:rsidRDefault="00313719" w:rsidP="008C3988">
      <w:pPr>
        <w:pStyle w:val="Default"/>
        <w:rPr>
          <w:rFonts w:ascii="Arial" w:hAnsi="Arial" w:cs="Arial"/>
          <w:b/>
          <w:bCs/>
        </w:rPr>
      </w:pPr>
    </w:p>
    <w:p w:rsidR="009E2259" w:rsidRDefault="009E2259" w:rsidP="008C3988">
      <w:pPr>
        <w:pStyle w:val="Default"/>
        <w:rPr>
          <w:rFonts w:ascii="Arial" w:hAnsi="Arial" w:cs="Arial"/>
          <w:b/>
          <w:bCs/>
        </w:rPr>
      </w:pPr>
    </w:p>
    <w:p w:rsidR="006F2D5E" w:rsidRPr="00D80D6D" w:rsidRDefault="002E18A2" w:rsidP="008C3988">
      <w:pPr>
        <w:pStyle w:val="Default"/>
        <w:rPr>
          <w:rFonts w:ascii="Arial" w:hAnsi="Arial" w:cs="Arial"/>
          <w:b/>
          <w:bCs/>
        </w:rPr>
      </w:pPr>
      <w:r>
        <w:rPr>
          <w:rFonts w:ascii="Arial" w:hAnsi="Arial" w:cs="Arial"/>
          <w:b/>
          <w:bCs/>
        </w:rPr>
        <w:t>4</w:t>
      </w:r>
      <w:r w:rsidR="004D0767">
        <w:rPr>
          <w:rFonts w:ascii="Arial" w:hAnsi="Arial" w:cs="Arial"/>
          <w:b/>
          <w:bCs/>
        </w:rPr>
        <w:t xml:space="preserve">. </w:t>
      </w:r>
      <w:r w:rsidR="006F2D5E" w:rsidRPr="00D80D6D">
        <w:rPr>
          <w:rFonts w:ascii="Arial" w:hAnsi="Arial" w:cs="Arial"/>
          <w:b/>
          <w:bCs/>
        </w:rPr>
        <w:t>SOCIJALNA I ZDRAVSTVENA STRUKTURA STANOVNIŠTVA KAO UZROK POSEBNIH RASHODOVNIH POTREBA</w:t>
      </w:r>
    </w:p>
    <w:p w:rsidR="00CA2D57" w:rsidRDefault="00CA2D57" w:rsidP="008C3988">
      <w:pPr>
        <w:pStyle w:val="Default"/>
        <w:rPr>
          <w:b/>
          <w:bCs/>
          <w:sz w:val="30"/>
          <w:szCs w:val="30"/>
        </w:rPr>
      </w:pPr>
    </w:p>
    <w:p w:rsidR="009E2259" w:rsidRDefault="009E2259" w:rsidP="008C3988">
      <w:pPr>
        <w:pStyle w:val="Default"/>
        <w:rPr>
          <w:b/>
          <w:bCs/>
          <w:sz w:val="30"/>
          <w:szCs w:val="30"/>
        </w:rPr>
      </w:pPr>
    </w:p>
    <w:p w:rsidR="00B6676F" w:rsidRDefault="00CA2D57" w:rsidP="006F2D5E">
      <w:pPr>
        <w:jc w:val="both"/>
        <w:rPr>
          <w:rFonts w:ascii="Arial" w:hAnsi="Arial" w:cs="Arial"/>
          <w:lang w:val="hr-HR"/>
        </w:rPr>
      </w:pPr>
      <w:r>
        <w:rPr>
          <w:rFonts w:ascii="Arial" w:hAnsi="Arial" w:cs="Arial"/>
          <w:lang w:val="hr-HR"/>
        </w:rPr>
        <w:t xml:space="preserve">Iako </w:t>
      </w:r>
      <w:r w:rsidR="009C3300">
        <w:rPr>
          <w:rFonts w:ascii="Arial" w:hAnsi="Arial" w:cs="Arial"/>
          <w:lang w:val="hr-HR"/>
        </w:rPr>
        <w:t>se</w:t>
      </w:r>
      <w:r w:rsidR="006F2D5E" w:rsidRPr="006F2D5E">
        <w:rPr>
          <w:rFonts w:ascii="Arial" w:hAnsi="Arial" w:cs="Arial"/>
          <w:lang w:val="hr-HR"/>
        </w:rPr>
        <w:t xml:space="preserve"> </w:t>
      </w:r>
      <w:r w:rsidR="00A10D5E">
        <w:rPr>
          <w:rFonts w:ascii="Arial" w:hAnsi="Arial" w:cs="Arial"/>
          <w:lang w:val="hr-HR"/>
        </w:rPr>
        <w:t xml:space="preserve">u </w:t>
      </w:r>
      <w:r w:rsidR="006F2D5E" w:rsidRPr="006F2D5E">
        <w:rPr>
          <w:rFonts w:ascii="Arial" w:hAnsi="Arial" w:cs="Arial"/>
          <w:lang w:val="hr-HR"/>
        </w:rPr>
        <w:t xml:space="preserve">Federaciji Bosne i Hercegovine </w:t>
      </w:r>
      <w:r w:rsidR="0021377D">
        <w:rPr>
          <w:rFonts w:ascii="Arial" w:hAnsi="Arial" w:cs="Arial"/>
          <w:lang w:val="hr-HR"/>
        </w:rPr>
        <w:t>i</w:t>
      </w:r>
      <w:r w:rsidR="009C3300">
        <w:rPr>
          <w:rFonts w:ascii="Arial" w:hAnsi="Arial" w:cs="Arial"/>
          <w:lang w:val="hr-HR"/>
        </w:rPr>
        <w:t xml:space="preserve"> danas vrši</w:t>
      </w:r>
      <w:r w:rsidR="006F2D5E" w:rsidRPr="006F2D5E">
        <w:rPr>
          <w:rFonts w:ascii="Arial" w:hAnsi="Arial" w:cs="Arial"/>
          <w:lang w:val="hr-HR"/>
        </w:rPr>
        <w:t xml:space="preserve"> neadekvatna i nepravedna  raspodjela prihoda</w:t>
      </w:r>
      <w:r w:rsidR="009C3300">
        <w:rPr>
          <w:rFonts w:ascii="Arial" w:hAnsi="Arial" w:cs="Arial"/>
          <w:lang w:val="hr-HR"/>
        </w:rPr>
        <w:t>,</w:t>
      </w:r>
      <w:r w:rsidR="006F2D5E" w:rsidRPr="006F2D5E">
        <w:rPr>
          <w:rFonts w:ascii="Arial" w:hAnsi="Arial" w:cs="Arial"/>
          <w:lang w:val="hr-HR"/>
        </w:rPr>
        <w:t xml:space="preserve"> a </w:t>
      </w:r>
      <w:r w:rsidR="00A10D5E">
        <w:rPr>
          <w:rFonts w:ascii="Arial" w:hAnsi="Arial" w:cs="Arial"/>
          <w:lang w:val="hr-HR"/>
        </w:rPr>
        <w:t xml:space="preserve">postoje određene inicijative </w:t>
      </w:r>
      <w:r w:rsidR="0021377D">
        <w:rPr>
          <w:rFonts w:ascii="Arial" w:hAnsi="Arial" w:cs="Arial"/>
          <w:lang w:val="hr-HR"/>
        </w:rPr>
        <w:t xml:space="preserve">i prijedlozi </w:t>
      </w:r>
      <w:r w:rsidR="00B6676F">
        <w:rPr>
          <w:rFonts w:ascii="Arial" w:hAnsi="Arial" w:cs="Arial"/>
          <w:lang w:val="hr-HR"/>
        </w:rPr>
        <w:t xml:space="preserve">određenih kantona </w:t>
      </w:r>
      <w:r w:rsidR="0021377D">
        <w:rPr>
          <w:rFonts w:ascii="Arial" w:hAnsi="Arial" w:cs="Arial"/>
          <w:lang w:val="hr-HR"/>
        </w:rPr>
        <w:t>koji su usmjereni u pravcu da ista bude još neadek</w:t>
      </w:r>
      <w:r w:rsidR="00B6676F">
        <w:rPr>
          <w:rFonts w:ascii="Arial" w:hAnsi="Arial" w:cs="Arial"/>
          <w:lang w:val="hr-HR"/>
        </w:rPr>
        <w:t>vatnija i nepravednija. Naime</w:t>
      </w:r>
      <w:r w:rsidR="009C3300">
        <w:rPr>
          <w:rFonts w:ascii="Arial" w:hAnsi="Arial" w:cs="Arial"/>
          <w:lang w:val="hr-HR"/>
        </w:rPr>
        <w:t>,</w:t>
      </w:r>
      <w:r w:rsidR="00B6676F">
        <w:rPr>
          <w:rFonts w:ascii="Arial" w:hAnsi="Arial" w:cs="Arial"/>
          <w:lang w:val="hr-HR"/>
        </w:rPr>
        <w:t xml:space="preserve"> u tim inicijativama se predlaže da se prilikom raspodjele uzimaju samo određeni kriteriji koji odgovaraju određenim kantonima</w:t>
      </w:r>
      <w:r w:rsidR="00A10D5E">
        <w:rPr>
          <w:rFonts w:ascii="Arial" w:hAnsi="Arial" w:cs="Arial"/>
          <w:lang w:val="hr-HR"/>
        </w:rPr>
        <w:t>,</w:t>
      </w:r>
      <w:r w:rsidR="00B6676F">
        <w:rPr>
          <w:rFonts w:ascii="Arial" w:hAnsi="Arial" w:cs="Arial"/>
          <w:lang w:val="hr-HR"/>
        </w:rPr>
        <w:t xml:space="preserve"> a sve kako bi se za taj kanton obezb</w:t>
      </w:r>
      <w:r w:rsidR="00A10D5E">
        <w:rPr>
          <w:rFonts w:ascii="Arial" w:hAnsi="Arial" w:cs="Arial"/>
          <w:lang w:val="hr-HR"/>
        </w:rPr>
        <w:t>i</w:t>
      </w:r>
      <w:r w:rsidR="00B6676F">
        <w:rPr>
          <w:rFonts w:ascii="Arial" w:hAnsi="Arial" w:cs="Arial"/>
          <w:lang w:val="hr-HR"/>
        </w:rPr>
        <w:t>jedila dodatna sredstva koja su neophodna za saniranje defic</w:t>
      </w:r>
      <w:r w:rsidR="00A10D5E">
        <w:rPr>
          <w:rFonts w:ascii="Arial" w:hAnsi="Arial" w:cs="Arial"/>
          <w:lang w:val="hr-HR"/>
        </w:rPr>
        <w:t>ita koji je nastao kao posl</w:t>
      </w:r>
      <w:r w:rsidR="00B6676F">
        <w:rPr>
          <w:rFonts w:ascii="Arial" w:hAnsi="Arial" w:cs="Arial"/>
          <w:lang w:val="hr-HR"/>
        </w:rPr>
        <w:t>jedica loših zakonskih rješenja vezano za zaduživanje i otplatu dugova</w:t>
      </w:r>
      <w:r w:rsidR="00A10D5E">
        <w:rPr>
          <w:rFonts w:ascii="Arial" w:hAnsi="Arial" w:cs="Arial"/>
          <w:lang w:val="hr-HR"/>
        </w:rPr>
        <w:t>,</w:t>
      </w:r>
      <w:r w:rsidR="00B6676F">
        <w:rPr>
          <w:rFonts w:ascii="Arial" w:hAnsi="Arial" w:cs="Arial"/>
          <w:lang w:val="hr-HR"/>
        </w:rPr>
        <w:t xml:space="preserve"> što utiče na smanjenj</w:t>
      </w:r>
      <w:r w:rsidR="00A10D5E">
        <w:rPr>
          <w:rFonts w:ascii="Arial" w:hAnsi="Arial" w:cs="Arial"/>
          <w:lang w:val="hr-HR"/>
        </w:rPr>
        <w:t>e</w:t>
      </w:r>
      <w:r w:rsidR="00B6676F">
        <w:rPr>
          <w:rFonts w:ascii="Arial" w:hAnsi="Arial" w:cs="Arial"/>
          <w:lang w:val="hr-HR"/>
        </w:rPr>
        <w:t xml:space="preserve"> ukupnih javnih prihoda koji se raspoređuju između korisnika u Federaciji Bosne i Hercegovine</w:t>
      </w:r>
      <w:r w:rsidR="009C3300">
        <w:rPr>
          <w:rFonts w:ascii="Arial" w:hAnsi="Arial" w:cs="Arial"/>
          <w:lang w:val="hr-HR"/>
        </w:rPr>
        <w:t xml:space="preserve">, </w:t>
      </w:r>
      <w:r w:rsidR="00A10D5E">
        <w:rPr>
          <w:rFonts w:ascii="Arial" w:hAnsi="Arial" w:cs="Arial"/>
          <w:lang w:val="hr-HR"/>
        </w:rPr>
        <w:t>ali i kao posl</w:t>
      </w:r>
      <w:r w:rsidR="00B6676F">
        <w:rPr>
          <w:rFonts w:ascii="Arial" w:hAnsi="Arial" w:cs="Arial"/>
          <w:lang w:val="hr-HR"/>
        </w:rPr>
        <w:t>jedica nedostatka finansijske discipline i neblagovremenog provođenja određenih reformi u tim kantonima.</w:t>
      </w:r>
    </w:p>
    <w:p w:rsidR="004D0767" w:rsidRDefault="00B6676F" w:rsidP="006F2D5E">
      <w:pPr>
        <w:jc w:val="both"/>
        <w:rPr>
          <w:rFonts w:ascii="Arial" w:hAnsi="Arial" w:cs="Arial"/>
        </w:rPr>
      </w:pPr>
      <w:r>
        <w:rPr>
          <w:rFonts w:ascii="Arial" w:hAnsi="Arial" w:cs="Arial"/>
          <w:lang w:val="hr-HR"/>
        </w:rPr>
        <w:t>Kod takve raspodjele kakva se predlaže</w:t>
      </w:r>
      <w:r w:rsidR="009C3300">
        <w:rPr>
          <w:rFonts w:ascii="Arial" w:hAnsi="Arial" w:cs="Arial"/>
          <w:lang w:val="hr-HR"/>
        </w:rPr>
        <w:t>,</w:t>
      </w:r>
      <w:r>
        <w:rPr>
          <w:rFonts w:ascii="Arial" w:hAnsi="Arial" w:cs="Arial"/>
          <w:lang w:val="hr-HR"/>
        </w:rPr>
        <w:t xml:space="preserve"> ponovo bi </w:t>
      </w:r>
      <w:r w:rsidR="006F2D5E" w:rsidRPr="006F2D5E">
        <w:rPr>
          <w:rFonts w:ascii="Arial" w:hAnsi="Arial" w:cs="Arial"/>
          <w:lang w:val="hr-HR"/>
        </w:rPr>
        <w:t>najgoru poziciju imao Bosansko-podrinjski kanton Goražde jer se raspodjela nije vršila na osnovu kriterija koji su u vezi sa nadležnostima kantona, a koji odgovaraju Bosansko-podrinjskom kantonu Goražde</w:t>
      </w:r>
      <w:r w:rsidR="00A10D5E">
        <w:rPr>
          <w:rFonts w:ascii="Arial" w:hAnsi="Arial" w:cs="Arial"/>
          <w:lang w:val="hr-HR"/>
        </w:rPr>
        <w:t>,</w:t>
      </w:r>
      <w:r w:rsidR="006F2D5E" w:rsidRPr="006F2D5E">
        <w:rPr>
          <w:rFonts w:ascii="Arial" w:hAnsi="Arial" w:cs="Arial"/>
          <w:lang w:val="hr-HR"/>
        </w:rPr>
        <w:t xml:space="preserve"> već su se u obzir uzimali uglavnom samo oni kriteriji koji ne odgovaraju Bosansko-podrinjskom kantonu Goražde. </w:t>
      </w:r>
      <w:r w:rsidR="004D0767">
        <w:rPr>
          <w:rFonts w:ascii="Arial" w:hAnsi="Arial" w:cs="Arial"/>
          <w:lang w:val="hr-HR"/>
        </w:rPr>
        <w:t>Naime</w:t>
      </w:r>
      <w:r w:rsidR="00A10D5E">
        <w:rPr>
          <w:rFonts w:ascii="Arial" w:hAnsi="Arial" w:cs="Arial"/>
          <w:lang w:val="hr-HR"/>
        </w:rPr>
        <w:t>,</w:t>
      </w:r>
      <w:r w:rsidR="004D0767">
        <w:rPr>
          <w:rFonts w:ascii="Arial" w:hAnsi="Arial" w:cs="Arial"/>
          <w:lang w:val="hr-HR"/>
        </w:rPr>
        <w:t xml:space="preserve"> i</w:t>
      </w:r>
      <w:r w:rsidR="006F2D5E" w:rsidRPr="006F2D5E">
        <w:rPr>
          <w:rFonts w:ascii="Arial" w:hAnsi="Arial" w:cs="Arial"/>
          <w:lang w:val="hr-HR"/>
        </w:rPr>
        <w:t xml:space="preserve">zostavljanje određenih kriterija koji bi imajući u vidu ustavne nadležnosti kantona trebali obavezno biti kriteriji za raspodjelu je donekle kompezovano uvođenjem pondera u važeći Zakon o pripadnosti javnih prihoda </w:t>
      </w:r>
      <w:r w:rsidR="006F2D5E" w:rsidRPr="006F2D5E">
        <w:rPr>
          <w:rFonts w:ascii="Arial" w:hAnsi="Arial" w:cs="Arial"/>
        </w:rPr>
        <w:t>u Federaciji Bosne i Hercegovine</w:t>
      </w:r>
      <w:r w:rsidR="00A10D5E">
        <w:rPr>
          <w:rFonts w:ascii="Arial" w:hAnsi="Arial" w:cs="Arial"/>
        </w:rPr>
        <w:t>,</w:t>
      </w:r>
      <w:r w:rsidR="006F2D5E" w:rsidRPr="006F2D5E">
        <w:rPr>
          <w:rFonts w:ascii="Arial" w:hAnsi="Arial" w:cs="Arial"/>
        </w:rPr>
        <w:t xml:space="preserve"> jer da nisu utvrđeni ponderi određeni kantoni koji imaju npr. procentualno veće učešće korisnika socijalne i z</w:t>
      </w:r>
      <w:r w:rsidR="004D0767">
        <w:rPr>
          <w:rFonts w:ascii="Arial" w:hAnsi="Arial" w:cs="Arial"/>
        </w:rPr>
        <w:t>dravstvene zaštite po stanovnika</w:t>
      </w:r>
      <w:r w:rsidR="006F2D5E" w:rsidRPr="006F2D5E">
        <w:rPr>
          <w:rFonts w:ascii="Arial" w:hAnsi="Arial" w:cs="Arial"/>
        </w:rPr>
        <w:t xml:space="preserve"> ne bi bili u mogućnosti pružiti tu zaštitu svojim stanovnicima na onom nivou na kojem je ista u drugim kantonima</w:t>
      </w:r>
      <w:r w:rsidR="00A10D5E">
        <w:rPr>
          <w:rFonts w:ascii="Arial" w:hAnsi="Arial" w:cs="Arial"/>
        </w:rPr>
        <w:t>,</w:t>
      </w:r>
      <w:r w:rsidR="006F2D5E" w:rsidRPr="006F2D5E">
        <w:rPr>
          <w:rFonts w:ascii="Arial" w:hAnsi="Arial" w:cs="Arial"/>
        </w:rPr>
        <w:t xml:space="preserve"> što je svakako neprihvatljivo. </w:t>
      </w:r>
      <w:r w:rsidR="004D0767">
        <w:rPr>
          <w:rFonts w:ascii="Arial" w:hAnsi="Arial" w:cs="Arial"/>
        </w:rPr>
        <w:t>Naime</w:t>
      </w:r>
      <w:r w:rsidR="00A10D5E">
        <w:rPr>
          <w:rFonts w:ascii="Arial" w:hAnsi="Arial" w:cs="Arial"/>
        </w:rPr>
        <w:t>,</w:t>
      </w:r>
      <w:r w:rsidR="004D0767">
        <w:rPr>
          <w:rFonts w:ascii="Arial" w:hAnsi="Arial" w:cs="Arial"/>
        </w:rPr>
        <w:t xml:space="preserve"> sve procjene i analize ukazuju da je broj korisnika socijalne i zdravstvene zaštite u Bosansko-podrinjskom kantonu Goražde višestruko veći nego u svim drugim kantonima</w:t>
      </w:r>
      <w:r w:rsidR="00A10D5E">
        <w:rPr>
          <w:rFonts w:ascii="Arial" w:hAnsi="Arial" w:cs="Arial"/>
        </w:rPr>
        <w:t>,</w:t>
      </w:r>
      <w:r w:rsidR="004D0767">
        <w:rPr>
          <w:rFonts w:ascii="Arial" w:hAnsi="Arial" w:cs="Arial"/>
        </w:rPr>
        <w:t xml:space="preserve"> izuzev Sarajevskog </w:t>
      </w:r>
      <w:r w:rsidR="00A10D5E">
        <w:rPr>
          <w:rFonts w:ascii="Arial" w:hAnsi="Arial" w:cs="Arial"/>
        </w:rPr>
        <w:t>k</w:t>
      </w:r>
      <w:r w:rsidR="004D0767">
        <w:rPr>
          <w:rFonts w:ascii="Arial" w:hAnsi="Arial" w:cs="Arial"/>
        </w:rPr>
        <w:t>antona.</w:t>
      </w:r>
    </w:p>
    <w:p w:rsidR="00722561" w:rsidRDefault="009C3300" w:rsidP="00DA025C">
      <w:pPr>
        <w:jc w:val="both"/>
        <w:rPr>
          <w:rFonts w:ascii="Arial" w:hAnsi="Arial" w:cs="Arial"/>
        </w:rPr>
      </w:pPr>
      <w:r>
        <w:rPr>
          <w:rFonts w:ascii="Arial" w:hAnsi="Arial" w:cs="Arial"/>
          <w:bCs/>
        </w:rPr>
        <w:t>Da bi</w:t>
      </w:r>
      <w:r w:rsidR="006F2D5E" w:rsidRPr="006F2D5E">
        <w:rPr>
          <w:rFonts w:ascii="Arial" w:hAnsi="Arial" w:cs="Arial"/>
          <w:bCs/>
        </w:rPr>
        <w:t xml:space="preserve"> pokazali kakve su razlike između kantona u pogledu broja korisnika socijalne i zdravstvene zaštite uzećemo civilne žrtve rata </w:t>
      </w:r>
      <w:r w:rsidR="006F2D5E" w:rsidRPr="006F2D5E">
        <w:rPr>
          <w:rFonts w:ascii="Arial" w:hAnsi="Arial" w:cs="Arial"/>
        </w:rPr>
        <w:t>kao uzorak obzirom da se radi o kategoriji koja prima određenu naknadu kao vid socijalne zaštite</w:t>
      </w:r>
      <w:r w:rsidR="00981A7A">
        <w:rPr>
          <w:rFonts w:ascii="Arial" w:hAnsi="Arial" w:cs="Arial"/>
        </w:rPr>
        <w:t>,</w:t>
      </w:r>
      <w:r w:rsidR="006F2D5E" w:rsidRPr="006F2D5E">
        <w:rPr>
          <w:rFonts w:ascii="Arial" w:hAnsi="Arial" w:cs="Arial"/>
        </w:rPr>
        <w:t xml:space="preserve"> a koja kao i druge kategorije korisnika socijane zaštite u značajnoj mjeri koristi zdravstvenu zašti</w:t>
      </w:r>
      <w:r>
        <w:rPr>
          <w:rFonts w:ascii="Arial" w:hAnsi="Arial" w:cs="Arial"/>
        </w:rPr>
        <w:t xml:space="preserve">tu. Navedena kategorija kao </w:t>
      </w:r>
      <w:r w:rsidR="006F2D5E" w:rsidRPr="006F2D5E">
        <w:rPr>
          <w:rFonts w:ascii="Arial" w:hAnsi="Arial" w:cs="Arial"/>
        </w:rPr>
        <w:t>takva pokazuje i kakav je omjer</w:t>
      </w:r>
      <w:r w:rsidR="00981A7A">
        <w:rPr>
          <w:rFonts w:ascii="Arial" w:hAnsi="Arial" w:cs="Arial"/>
        </w:rPr>
        <w:t>,</w:t>
      </w:r>
      <w:r w:rsidR="006F2D5E" w:rsidRPr="006F2D5E">
        <w:rPr>
          <w:rFonts w:ascii="Arial" w:hAnsi="Arial" w:cs="Arial"/>
        </w:rPr>
        <w:t xml:space="preserve"> odnosno kakvo je i koliko učešće korisnika socijalne i zdravstvene zaštite po pojedinim kantonima. U isto vrijeme radi se o</w:t>
      </w:r>
      <w:r w:rsidR="00A10D5E">
        <w:rPr>
          <w:rFonts w:ascii="Arial" w:hAnsi="Arial" w:cs="Arial"/>
        </w:rPr>
        <w:t xml:space="preserve"> kategoriji koja prima naknadu </w:t>
      </w:r>
      <w:r w:rsidR="006F2D5E" w:rsidRPr="006F2D5E">
        <w:rPr>
          <w:rFonts w:ascii="Arial" w:hAnsi="Arial" w:cs="Arial"/>
        </w:rPr>
        <w:t>jednim dijelom iz Budžeta Federacije a manjim dijelom iz budžeta kantona</w:t>
      </w:r>
      <w:r w:rsidR="00981A7A">
        <w:rPr>
          <w:rFonts w:ascii="Arial" w:hAnsi="Arial" w:cs="Arial"/>
        </w:rPr>
        <w:t>,</w:t>
      </w:r>
      <w:r w:rsidR="006F2D5E" w:rsidRPr="006F2D5E">
        <w:rPr>
          <w:rFonts w:ascii="Arial" w:hAnsi="Arial" w:cs="Arial"/>
        </w:rPr>
        <w:t xml:space="preserve"> tako da se radi o korisnicima koje su u pravo uvedeni u skladu sa zakonom donesenim na Federacije BiH tako da kantoni ne mogu manipulisati tim podacima.</w:t>
      </w:r>
    </w:p>
    <w:p w:rsidR="00BE1C41" w:rsidRDefault="00BE1C41" w:rsidP="00DA025C">
      <w:pPr>
        <w:jc w:val="both"/>
        <w:rPr>
          <w:rFonts w:ascii="Arial" w:hAnsi="Arial" w:cs="Arial"/>
        </w:rPr>
      </w:pPr>
    </w:p>
    <w:p w:rsidR="009E2259" w:rsidRDefault="009E2259" w:rsidP="00DA025C">
      <w:pPr>
        <w:jc w:val="both"/>
        <w:rPr>
          <w:rFonts w:ascii="Arial" w:hAnsi="Arial" w:cs="Arial"/>
        </w:rPr>
      </w:pPr>
    </w:p>
    <w:p w:rsidR="009E2259" w:rsidRDefault="009E2259" w:rsidP="00DA025C">
      <w:pPr>
        <w:jc w:val="both"/>
        <w:rPr>
          <w:rFonts w:ascii="Arial" w:hAnsi="Arial" w:cs="Arial"/>
        </w:rPr>
      </w:pPr>
    </w:p>
    <w:p w:rsidR="00313719" w:rsidRDefault="00313719" w:rsidP="00DA025C">
      <w:pPr>
        <w:jc w:val="both"/>
        <w:rPr>
          <w:rFonts w:ascii="Arial" w:hAnsi="Arial" w:cs="Arial"/>
        </w:rPr>
      </w:pPr>
    </w:p>
    <w:p w:rsidR="00313719" w:rsidRDefault="00313719" w:rsidP="00DA025C">
      <w:pPr>
        <w:jc w:val="both"/>
        <w:rPr>
          <w:rFonts w:ascii="Arial" w:hAnsi="Arial" w:cs="Arial"/>
        </w:rPr>
      </w:pPr>
    </w:p>
    <w:p w:rsidR="00977027" w:rsidRDefault="00977027" w:rsidP="00DA025C">
      <w:pPr>
        <w:jc w:val="both"/>
        <w:rPr>
          <w:rFonts w:ascii="Arial" w:hAnsi="Arial" w:cs="Arial"/>
        </w:rPr>
      </w:pPr>
    </w:p>
    <w:p w:rsidR="006F2D5E" w:rsidRDefault="00DF3CA1" w:rsidP="00DA025C">
      <w:pPr>
        <w:jc w:val="both"/>
        <w:rPr>
          <w:rFonts w:ascii="Garamond" w:hAnsi="Garamond"/>
        </w:rPr>
      </w:pPr>
      <w:r>
        <w:rPr>
          <w:rFonts w:ascii="Garamond" w:hAnsi="Garamond"/>
          <w:b/>
          <w:bCs/>
        </w:rPr>
        <w:lastRenderedPageBreak/>
        <w:t>Tabela 6</w:t>
      </w:r>
      <w:r w:rsidR="00DA025C" w:rsidRPr="00994A10">
        <w:rPr>
          <w:rFonts w:ascii="Garamond" w:hAnsi="Garamond"/>
          <w:b/>
          <w:bCs/>
        </w:rPr>
        <w:t xml:space="preserve">. </w:t>
      </w:r>
      <w:r w:rsidR="00DA025C" w:rsidRPr="00994A10">
        <w:rPr>
          <w:rFonts w:ascii="Garamond" w:hAnsi="Garamond"/>
        </w:rPr>
        <w:t>Pregled po kantonima potreba za izdvajanje sredstava na ime zbrinjavanja civilnih žrtava rata</w:t>
      </w:r>
      <w:r w:rsidR="00313719">
        <w:rPr>
          <w:rStyle w:val="FootnoteReference"/>
          <w:rFonts w:ascii="Garamond" w:hAnsi="Garamond"/>
        </w:rPr>
        <w:footnoteReference w:id="3"/>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1842"/>
        <w:gridCol w:w="1701"/>
        <w:gridCol w:w="2268"/>
      </w:tblGrid>
      <w:tr w:rsidR="006F2D5E" w:rsidTr="008733CE">
        <w:trPr>
          <w:trHeight w:val="110"/>
        </w:trPr>
        <w:tc>
          <w:tcPr>
            <w:tcW w:w="1951" w:type="dxa"/>
          </w:tcPr>
          <w:p w:rsidR="006F2D5E" w:rsidRPr="00994A10" w:rsidRDefault="006F2D5E" w:rsidP="008733CE">
            <w:pPr>
              <w:pStyle w:val="Default"/>
              <w:jc w:val="center"/>
              <w:rPr>
                <w:rFonts w:cs="Times New Roman"/>
                <w:b/>
                <w:bCs/>
                <w:sz w:val="22"/>
                <w:szCs w:val="22"/>
              </w:rPr>
            </w:pPr>
            <w:r w:rsidRPr="00994A10">
              <w:rPr>
                <w:rFonts w:cs="Times New Roman"/>
                <w:b/>
                <w:bCs/>
                <w:sz w:val="22"/>
                <w:szCs w:val="22"/>
              </w:rPr>
              <w:t>Kanton</w:t>
            </w:r>
          </w:p>
          <w:p w:rsidR="006F2D5E" w:rsidRPr="00994A10" w:rsidRDefault="006F2D5E" w:rsidP="008733CE">
            <w:pPr>
              <w:pStyle w:val="Default"/>
              <w:jc w:val="center"/>
              <w:rPr>
                <w:rFonts w:cs="Times New Roman"/>
                <w:sz w:val="22"/>
                <w:szCs w:val="22"/>
              </w:rPr>
            </w:pPr>
          </w:p>
        </w:tc>
        <w:tc>
          <w:tcPr>
            <w:tcW w:w="1985" w:type="dxa"/>
          </w:tcPr>
          <w:p w:rsidR="006F2D5E" w:rsidRPr="00994A10" w:rsidRDefault="006F2D5E" w:rsidP="008733CE">
            <w:pPr>
              <w:pStyle w:val="Default"/>
              <w:jc w:val="center"/>
              <w:rPr>
                <w:rFonts w:cs="Times New Roman"/>
                <w:b/>
                <w:sz w:val="22"/>
                <w:szCs w:val="22"/>
              </w:rPr>
            </w:pPr>
            <w:r w:rsidRPr="00994A10">
              <w:rPr>
                <w:rFonts w:cs="Times New Roman"/>
                <w:b/>
                <w:sz w:val="22"/>
                <w:szCs w:val="22"/>
              </w:rPr>
              <w:t>Civilne žrtve rata</w:t>
            </w:r>
          </w:p>
          <w:p w:rsidR="006F2D5E" w:rsidRPr="00994A10" w:rsidRDefault="006F2D5E" w:rsidP="008733CE">
            <w:pPr>
              <w:pStyle w:val="Default"/>
              <w:jc w:val="center"/>
              <w:rPr>
                <w:rFonts w:cs="Times New Roman"/>
                <w:b/>
                <w:sz w:val="22"/>
                <w:szCs w:val="22"/>
              </w:rPr>
            </w:pPr>
            <w:r w:rsidRPr="00994A10">
              <w:rPr>
                <w:rFonts w:cs="Times New Roman"/>
                <w:b/>
                <w:bCs/>
                <w:sz w:val="22"/>
                <w:szCs w:val="22"/>
              </w:rPr>
              <w:t>iznos (KM)</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b/>
                <w:bCs/>
                <w:sz w:val="22"/>
                <w:szCs w:val="22"/>
              </w:rPr>
              <w:t>Broj stanovnika</w:t>
            </w:r>
          </w:p>
        </w:tc>
        <w:tc>
          <w:tcPr>
            <w:tcW w:w="1701" w:type="dxa"/>
          </w:tcPr>
          <w:p w:rsidR="006F2D5E" w:rsidRPr="00994A10" w:rsidRDefault="006F2D5E" w:rsidP="008733CE">
            <w:pPr>
              <w:pStyle w:val="Default"/>
              <w:jc w:val="center"/>
              <w:rPr>
                <w:rFonts w:cs="Times New Roman"/>
                <w:b/>
                <w:bCs/>
                <w:sz w:val="22"/>
                <w:szCs w:val="22"/>
              </w:rPr>
            </w:pPr>
            <w:r w:rsidRPr="00994A10">
              <w:rPr>
                <w:rFonts w:cs="Times New Roman"/>
                <w:b/>
                <w:bCs/>
                <w:sz w:val="22"/>
                <w:szCs w:val="22"/>
              </w:rPr>
              <w:t>Iznos po stanovniku (KM)</w:t>
            </w:r>
          </w:p>
          <w:p w:rsidR="006F2D5E" w:rsidRPr="00994A10" w:rsidRDefault="006F2D5E" w:rsidP="008733CE">
            <w:pPr>
              <w:pStyle w:val="Default"/>
              <w:jc w:val="center"/>
              <w:rPr>
                <w:rFonts w:cs="Times New Roman"/>
                <w:sz w:val="22"/>
                <w:szCs w:val="22"/>
              </w:rPr>
            </w:pPr>
          </w:p>
        </w:tc>
        <w:tc>
          <w:tcPr>
            <w:tcW w:w="2268" w:type="dxa"/>
          </w:tcPr>
          <w:p w:rsidR="006F2D5E" w:rsidRPr="00994A10" w:rsidRDefault="006F2D5E" w:rsidP="008733CE">
            <w:pPr>
              <w:pStyle w:val="Default"/>
              <w:jc w:val="center"/>
              <w:rPr>
                <w:rFonts w:cs="Times New Roman"/>
                <w:b/>
                <w:bCs/>
                <w:sz w:val="22"/>
                <w:szCs w:val="22"/>
              </w:rPr>
            </w:pPr>
            <w:r w:rsidRPr="00994A10">
              <w:rPr>
                <w:rFonts w:cs="Times New Roman"/>
                <w:b/>
                <w:bCs/>
                <w:sz w:val="22"/>
                <w:szCs w:val="22"/>
              </w:rPr>
              <w:t xml:space="preserve"> Pregled za koliko su izdvajanja u BPK Goražde veća u odnosu na druge kantone </w:t>
            </w:r>
          </w:p>
        </w:tc>
      </w:tr>
      <w:tr w:rsidR="006F2D5E" w:rsidTr="008733CE">
        <w:trPr>
          <w:trHeight w:val="110"/>
        </w:trPr>
        <w:tc>
          <w:tcPr>
            <w:tcW w:w="1951" w:type="dxa"/>
          </w:tcPr>
          <w:p w:rsidR="006F2D5E" w:rsidRPr="00994A10" w:rsidRDefault="006F2D5E" w:rsidP="008733CE">
            <w:pPr>
              <w:pStyle w:val="Default"/>
              <w:jc w:val="both"/>
              <w:rPr>
                <w:rFonts w:cs="Times New Roman"/>
                <w:b/>
                <w:sz w:val="22"/>
                <w:szCs w:val="22"/>
              </w:rPr>
            </w:pPr>
            <w:r w:rsidRPr="00994A10">
              <w:rPr>
                <w:rFonts w:cs="Times New Roman"/>
                <w:b/>
                <w:sz w:val="22"/>
                <w:szCs w:val="22"/>
              </w:rPr>
              <w:t>Bosansko-podrinjski kanton (BPK Goražde)</w:t>
            </w:r>
          </w:p>
        </w:tc>
        <w:tc>
          <w:tcPr>
            <w:tcW w:w="1985" w:type="dxa"/>
          </w:tcPr>
          <w:p w:rsidR="006F2D5E" w:rsidRPr="00994A10" w:rsidRDefault="006F2D5E" w:rsidP="008733CE">
            <w:pPr>
              <w:pStyle w:val="Default"/>
              <w:jc w:val="center"/>
              <w:rPr>
                <w:rFonts w:cs="Times New Roman"/>
                <w:b/>
                <w:sz w:val="22"/>
                <w:szCs w:val="22"/>
              </w:rPr>
            </w:pPr>
            <w:r w:rsidRPr="00994A10">
              <w:rPr>
                <w:rFonts w:cs="Times New Roman"/>
                <w:b/>
                <w:sz w:val="22"/>
                <w:szCs w:val="22"/>
              </w:rPr>
              <w:t>1.178.421</w:t>
            </w:r>
          </w:p>
        </w:tc>
        <w:tc>
          <w:tcPr>
            <w:tcW w:w="1842" w:type="dxa"/>
          </w:tcPr>
          <w:p w:rsidR="006F2D5E" w:rsidRPr="00994A10" w:rsidRDefault="006F2D5E" w:rsidP="008733CE">
            <w:pPr>
              <w:pStyle w:val="Default"/>
              <w:jc w:val="center"/>
              <w:rPr>
                <w:rFonts w:cs="Times New Roman"/>
                <w:b/>
                <w:sz w:val="22"/>
                <w:szCs w:val="22"/>
              </w:rPr>
            </w:pPr>
            <w:r w:rsidRPr="00994A10">
              <w:rPr>
                <w:rFonts w:cs="Times New Roman"/>
                <w:b/>
                <w:sz w:val="22"/>
                <w:szCs w:val="22"/>
              </w:rPr>
              <w:t>32.428</w:t>
            </w:r>
          </w:p>
        </w:tc>
        <w:tc>
          <w:tcPr>
            <w:tcW w:w="1701" w:type="dxa"/>
          </w:tcPr>
          <w:p w:rsidR="006F2D5E" w:rsidRPr="00994A10" w:rsidRDefault="006F2D5E" w:rsidP="008733CE">
            <w:pPr>
              <w:pStyle w:val="Default"/>
              <w:jc w:val="center"/>
              <w:rPr>
                <w:rFonts w:cs="Times New Roman"/>
                <w:b/>
                <w:sz w:val="22"/>
                <w:szCs w:val="22"/>
              </w:rPr>
            </w:pPr>
            <w:r w:rsidRPr="00994A10">
              <w:rPr>
                <w:rFonts w:cs="Times New Roman"/>
                <w:b/>
                <w:sz w:val="22"/>
                <w:szCs w:val="22"/>
              </w:rPr>
              <w:t>36,339</w:t>
            </w:r>
          </w:p>
        </w:tc>
        <w:tc>
          <w:tcPr>
            <w:tcW w:w="2268" w:type="dxa"/>
          </w:tcPr>
          <w:p w:rsidR="006F2D5E" w:rsidRPr="00994A10" w:rsidRDefault="006F2D5E" w:rsidP="008733CE">
            <w:pPr>
              <w:pStyle w:val="Default"/>
              <w:jc w:val="center"/>
              <w:rPr>
                <w:rFonts w:cs="Times New Roman"/>
                <w:b/>
                <w:sz w:val="22"/>
                <w:szCs w:val="22"/>
              </w:rPr>
            </w:pPr>
            <w:r w:rsidRPr="00994A10">
              <w:rPr>
                <w:rFonts w:cs="Times New Roman"/>
                <w:b/>
                <w:sz w:val="22"/>
                <w:szCs w:val="22"/>
              </w:rPr>
              <w:t>100,00</w:t>
            </w:r>
          </w:p>
        </w:tc>
      </w:tr>
      <w:tr w:rsidR="006F2D5E" w:rsidTr="008733CE">
        <w:trPr>
          <w:trHeight w:val="110"/>
        </w:trPr>
        <w:tc>
          <w:tcPr>
            <w:tcW w:w="1951" w:type="dxa"/>
          </w:tcPr>
          <w:p w:rsidR="00DA025C" w:rsidRPr="00994A10" w:rsidRDefault="006F2D5E" w:rsidP="008733CE">
            <w:pPr>
              <w:pStyle w:val="Default"/>
              <w:jc w:val="both"/>
              <w:rPr>
                <w:rFonts w:cs="Times New Roman"/>
                <w:sz w:val="22"/>
                <w:szCs w:val="22"/>
              </w:rPr>
            </w:pPr>
            <w:r w:rsidRPr="00994A10">
              <w:rPr>
                <w:rFonts w:cs="Times New Roman"/>
                <w:sz w:val="22"/>
                <w:szCs w:val="22"/>
              </w:rPr>
              <w:t>Posavski kanton</w:t>
            </w:r>
          </w:p>
        </w:tc>
        <w:tc>
          <w:tcPr>
            <w:tcW w:w="1985" w:type="dxa"/>
          </w:tcPr>
          <w:p w:rsidR="006F2D5E" w:rsidRPr="00994A10" w:rsidRDefault="006F2D5E" w:rsidP="008733CE">
            <w:pPr>
              <w:pStyle w:val="Default"/>
              <w:jc w:val="center"/>
              <w:rPr>
                <w:rFonts w:cs="Times New Roman"/>
                <w:sz w:val="22"/>
                <w:szCs w:val="22"/>
              </w:rPr>
            </w:pPr>
          </w:p>
        </w:tc>
        <w:tc>
          <w:tcPr>
            <w:tcW w:w="1842" w:type="dxa"/>
          </w:tcPr>
          <w:p w:rsidR="006F2D5E" w:rsidRPr="00994A10" w:rsidRDefault="006F2D5E" w:rsidP="008733CE">
            <w:pPr>
              <w:pStyle w:val="Default"/>
              <w:jc w:val="center"/>
              <w:rPr>
                <w:rFonts w:cs="Times New Roman"/>
                <w:sz w:val="22"/>
                <w:szCs w:val="22"/>
              </w:rPr>
            </w:pPr>
            <w:r w:rsidRPr="00994A10">
              <w:rPr>
                <w:rFonts w:cs="Times New Roman"/>
                <w:sz w:val="22"/>
                <w:szCs w:val="22"/>
              </w:rPr>
              <w:t>38.960</w:t>
            </w:r>
          </w:p>
        </w:tc>
        <w:tc>
          <w:tcPr>
            <w:tcW w:w="1701" w:type="dxa"/>
          </w:tcPr>
          <w:p w:rsidR="006F2D5E" w:rsidRPr="00994A10" w:rsidRDefault="006F2D5E" w:rsidP="008733CE">
            <w:pPr>
              <w:pStyle w:val="Default"/>
              <w:jc w:val="center"/>
              <w:rPr>
                <w:rFonts w:cs="Times New Roman"/>
                <w:sz w:val="22"/>
                <w:szCs w:val="22"/>
              </w:rPr>
            </w:pPr>
          </w:p>
        </w:tc>
        <w:tc>
          <w:tcPr>
            <w:tcW w:w="2268" w:type="dxa"/>
          </w:tcPr>
          <w:p w:rsidR="006F2D5E" w:rsidRPr="00994A10" w:rsidRDefault="006F2D5E" w:rsidP="008733CE">
            <w:pPr>
              <w:pStyle w:val="Default"/>
              <w:jc w:val="center"/>
              <w:rPr>
                <w:rFonts w:cs="Times New Roman"/>
                <w:sz w:val="22"/>
                <w:szCs w:val="22"/>
              </w:rPr>
            </w:pPr>
          </w:p>
        </w:tc>
      </w:tr>
      <w:tr w:rsidR="006F2D5E" w:rsidTr="008733CE">
        <w:trPr>
          <w:trHeight w:val="110"/>
        </w:trPr>
        <w:tc>
          <w:tcPr>
            <w:tcW w:w="1951" w:type="dxa"/>
          </w:tcPr>
          <w:p w:rsidR="00DA025C" w:rsidRPr="00994A10" w:rsidRDefault="006F2D5E" w:rsidP="008733CE">
            <w:pPr>
              <w:pStyle w:val="Default"/>
              <w:jc w:val="both"/>
              <w:rPr>
                <w:rFonts w:cs="Times New Roman"/>
                <w:bCs/>
                <w:sz w:val="22"/>
                <w:szCs w:val="22"/>
              </w:rPr>
            </w:pPr>
            <w:r w:rsidRPr="00994A10">
              <w:rPr>
                <w:rFonts w:cs="Times New Roman"/>
                <w:bCs/>
                <w:sz w:val="22"/>
                <w:szCs w:val="22"/>
              </w:rPr>
              <w:t>Tuzlanski kanton</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sz w:val="22"/>
                <w:szCs w:val="22"/>
              </w:rPr>
              <w:t>6.195.400</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bCs/>
                <w:sz w:val="22"/>
                <w:szCs w:val="22"/>
              </w:rPr>
              <w:t>498.911</w:t>
            </w:r>
          </w:p>
        </w:tc>
        <w:tc>
          <w:tcPr>
            <w:tcW w:w="1701" w:type="dxa"/>
          </w:tcPr>
          <w:p w:rsidR="006F2D5E" w:rsidRPr="00994A10" w:rsidRDefault="006F2D5E" w:rsidP="008733CE">
            <w:pPr>
              <w:pStyle w:val="Default"/>
              <w:jc w:val="center"/>
              <w:rPr>
                <w:rFonts w:cs="Times New Roman"/>
                <w:sz w:val="22"/>
                <w:szCs w:val="22"/>
              </w:rPr>
            </w:pPr>
            <w:r w:rsidRPr="00994A10">
              <w:rPr>
                <w:rFonts w:cs="Times New Roman"/>
                <w:bCs/>
                <w:sz w:val="22"/>
                <w:szCs w:val="22"/>
              </w:rPr>
              <w:t>12,237</w:t>
            </w:r>
          </w:p>
        </w:tc>
        <w:tc>
          <w:tcPr>
            <w:tcW w:w="2268" w:type="dxa"/>
          </w:tcPr>
          <w:p w:rsidR="006F2D5E" w:rsidRPr="006C0BFE" w:rsidRDefault="006F2D5E" w:rsidP="008733CE">
            <w:pPr>
              <w:pStyle w:val="Default"/>
              <w:jc w:val="center"/>
              <w:rPr>
                <w:rFonts w:cs="Times New Roman"/>
                <w:b/>
                <w:bCs/>
                <w:sz w:val="22"/>
                <w:szCs w:val="22"/>
              </w:rPr>
            </w:pPr>
            <w:r w:rsidRPr="006C0BFE">
              <w:rPr>
                <w:rFonts w:cs="Times New Roman"/>
                <w:b/>
                <w:bCs/>
                <w:sz w:val="22"/>
                <w:szCs w:val="22"/>
              </w:rPr>
              <w:t>296,96</w:t>
            </w:r>
          </w:p>
        </w:tc>
      </w:tr>
      <w:tr w:rsidR="006F2D5E" w:rsidTr="008733CE">
        <w:trPr>
          <w:trHeight w:val="110"/>
        </w:trPr>
        <w:tc>
          <w:tcPr>
            <w:tcW w:w="1951" w:type="dxa"/>
          </w:tcPr>
          <w:p w:rsidR="006F2D5E" w:rsidRPr="00994A10" w:rsidRDefault="006F2D5E" w:rsidP="008733CE">
            <w:pPr>
              <w:pStyle w:val="Default"/>
              <w:jc w:val="both"/>
              <w:rPr>
                <w:rFonts w:cs="Times New Roman"/>
                <w:sz w:val="22"/>
                <w:szCs w:val="22"/>
              </w:rPr>
            </w:pPr>
            <w:r w:rsidRPr="00994A10">
              <w:rPr>
                <w:rFonts w:cs="Times New Roman"/>
                <w:sz w:val="22"/>
                <w:szCs w:val="22"/>
              </w:rPr>
              <w:t>Zeničko-dobojski kanton</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sz w:val="22"/>
                <w:szCs w:val="22"/>
              </w:rPr>
              <w:t>3.385.881</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sz w:val="22"/>
                <w:szCs w:val="22"/>
              </w:rPr>
              <w:t>398.655</w:t>
            </w:r>
          </w:p>
        </w:tc>
        <w:tc>
          <w:tcPr>
            <w:tcW w:w="1701" w:type="dxa"/>
          </w:tcPr>
          <w:p w:rsidR="006F2D5E" w:rsidRPr="00994A10" w:rsidRDefault="006F2D5E" w:rsidP="008733CE">
            <w:pPr>
              <w:pStyle w:val="Default"/>
              <w:jc w:val="center"/>
              <w:rPr>
                <w:rFonts w:cs="Times New Roman"/>
                <w:sz w:val="22"/>
                <w:szCs w:val="22"/>
              </w:rPr>
            </w:pPr>
            <w:r w:rsidRPr="00994A10">
              <w:rPr>
                <w:rFonts w:cs="Times New Roman"/>
                <w:sz w:val="22"/>
                <w:szCs w:val="22"/>
              </w:rPr>
              <w:t>8,493</w:t>
            </w:r>
          </w:p>
        </w:tc>
        <w:tc>
          <w:tcPr>
            <w:tcW w:w="2268" w:type="dxa"/>
          </w:tcPr>
          <w:p w:rsidR="006F2D5E" w:rsidRPr="006C0BFE" w:rsidRDefault="006F2D5E" w:rsidP="008733CE">
            <w:pPr>
              <w:pStyle w:val="Default"/>
              <w:jc w:val="center"/>
              <w:rPr>
                <w:rFonts w:cs="Times New Roman"/>
                <w:b/>
                <w:sz w:val="22"/>
                <w:szCs w:val="22"/>
              </w:rPr>
            </w:pPr>
            <w:r w:rsidRPr="006C0BFE">
              <w:rPr>
                <w:rFonts w:cs="Times New Roman"/>
                <w:b/>
                <w:sz w:val="22"/>
                <w:szCs w:val="22"/>
              </w:rPr>
              <w:t>427,87</w:t>
            </w:r>
          </w:p>
        </w:tc>
      </w:tr>
      <w:tr w:rsidR="006F2D5E" w:rsidRPr="00412C54" w:rsidTr="008733CE">
        <w:trPr>
          <w:trHeight w:val="110"/>
        </w:trPr>
        <w:tc>
          <w:tcPr>
            <w:tcW w:w="1951" w:type="dxa"/>
          </w:tcPr>
          <w:p w:rsidR="006F2D5E" w:rsidRPr="00994A10" w:rsidRDefault="006F2D5E" w:rsidP="008733CE">
            <w:pPr>
              <w:pStyle w:val="Default"/>
              <w:jc w:val="both"/>
              <w:rPr>
                <w:rFonts w:cs="Times New Roman"/>
                <w:sz w:val="22"/>
                <w:szCs w:val="22"/>
              </w:rPr>
            </w:pPr>
            <w:r w:rsidRPr="00994A10">
              <w:rPr>
                <w:rFonts w:cs="Times New Roman"/>
                <w:sz w:val="22"/>
                <w:szCs w:val="22"/>
              </w:rPr>
              <w:t>Unsko-sanski kanton</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sz w:val="22"/>
                <w:szCs w:val="22"/>
              </w:rPr>
              <w:t>5.650.000</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sz w:val="22"/>
                <w:szCs w:val="22"/>
              </w:rPr>
              <w:t>287.621</w:t>
            </w:r>
          </w:p>
        </w:tc>
        <w:tc>
          <w:tcPr>
            <w:tcW w:w="1701" w:type="dxa"/>
          </w:tcPr>
          <w:p w:rsidR="006F2D5E" w:rsidRPr="00994A10" w:rsidRDefault="006C0BFE" w:rsidP="008733CE">
            <w:pPr>
              <w:pStyle w:val="Default"/>
              <w:jc w:val="center"/>
              <w:rPr>
                <w:rFonts w:cs="Times New Roman"/>
                <w:sz w:val="22"/>
                <w:szCs w:val="22"/>
              </w:rPr>
            </w:pPr>
            <w:r>
              <w:rPr>
                <w:rFonts w:cs="Times New Roman"/>
                <w:sz w:val="22"/>
                <w:szCs w:val="22"/>
              </w:rPr>
              <w:t>19,</w:t>
            </w:r>
            <w:r w:rsidR="006F2D5E" w:rsidRPr="00994A10">
              <w:rPr>
                <w:rFonts w:cs="Times New Roman"/>
                <w:sz w:val="22"/>
                <w:szCs w:val="22"/>
              </w:rPr>
              <w:t>643</w:t>
            </w:r>
          </w:p>
        </w:tc>
        <w:tc>
          <w:tcPr>
            <w:tcW w:w="2268" w:type="dxa"/>
          </w:tcPr>
          <w:p w:rsidR="006F2D5E" w:rsidRPr="006C0BFE" w:rsidRDefault="006F2D5E" w:rsidP="008733CE">
            <w:pPr>
              <w:pStyle w:val="Default"/>
              <w:jc w:val="center"/>
              <w:rPr>
                <w:rFonts w:cs="Times New Roman"/>
                <w:b/>
                <w:sz w:val="22"/>
                <w:szCs w:val="22"/>
              </w:rPr>
            </w:pPr>
            <w:r w:rsidRPr="006C0BFE">
              <w:rPr>
                <w:rFonts w:cs="Times New Roman"/>
                <w:b/>
                <w:sz w:val="22"/>
                <w:szCs w:val="22"/>
              </w:rPr>
              <w:t>184,99</w:t>
            </w:r>
          </w:p>
        </w:tc>
      </w:tr>
      <w:tr w:rsidR="006F2D5E" w:rsidTr="008733CE">
        <w:trPr>
          <w:trHeight w:val="110"/>
        </w:trPr>
        <w:tc>
          <w:tcPr>
            <w:tcW w:w="1951" w:type="dxa"/>
          </w:tcPr>
          <w:p w:rsidR="006F2D5E" w:rsidRPr="00994A10" w:rsidRDefault="006F2D5E" w:rsidP="008733CE">
            <w:pPr>
              <w:pStyle w:val="Default"/>
              <w:jc w:val="both"/>
              <w:rPr>
                <w:rFonts w:cs="Times New Roman"/>
                <w:sz w:val="22"/>
                <w:szCs w:val="22"/>
              </w:rPr>
            </w:pPr>
            <w:r w:rsidRPr="00994A10">
              <w:rPr>
                <w:rFonts w:cs="Times New Roman"/>
                <w:sz w:val="22"/>
                <w:szCs w:val="22"/>
              </w:rPr>
              <w:t>Srednjobosanski kanton</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sz w:val="22"/>
                <w:szCs w:val="22"/>
              </w:rPr>
              <w:t>2.550.000</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sz w:val="22"/>
                <w:szCs w:val="22"/>
              </w:rPr>
              <w:t>253.149</w:t>
            </w:r>
          </w:p>
        </w:tc>
        <w:tc>
          <w:tcPr>
            <w:tcW w:w="1701" w:type="dxa"/>
          </w:tcPr>
          <w:p w:rsidR="006F2D5E" w:rsidRPr="00994A10" w:rsidRDefault="006C0BFE" w:rsidP="008733CE">
            <w:pPr>
              <w:pStyle w:val="Default"/>
              <w:jc w:val="center"/>
              <w:rPr>
                <w:rFonts w:cs="Times New Roman"/>
                <w:sz w:val="22"/>
                <w:szCs w:val="22"/>
              </w:rPr>
            </w:pPr>
            <w:r>
              <w:rPr>
                <w:rFonts w:cs="Times New Roman"/>
                <w:sz w:val="22"/>
                <w:szCs w:val="22"/>
              </w:rPr>
              <w:t>10,</w:t>
            </w:r>
            <w:r w:rsidR="006F2D5E" w:rsidRPr="00994A10">
              <w:rPr>
                <w:rFonts w:cs="Times New Roman"/>
                <w:sz w:val="22"/>
                <w:szCs w:val="22"/>
              </w:rPr>
              <w:t>073</w:t>
            </w:r>
          </w:p>
        </w:tc>
        <w:tc>
          <w:tcPr>
            <w:tcW w:w="2268" w:type="dxa"/>
          </w:tcPr>
          <w:p w:rsidR="006F2D5E" w:rsidRPr="006C0BFE" w:rsidRDefault="006F2D5E" w:rsidP="008733CE">
            <w:pPr>
              <w:pStyle w:val="Default"/>
              <w:jc w:val="center"/>
              <w:rPr>
                <w:rFonts w:cs="Times New Roman"/>
                <w:b/>
                <w:sz w:val="22"/>
                <w:szCs w:val="22"/>
              </w:rPr>
            </w:pPr>
            <w:r w:rsidRPr="006C0BFE">
              <w:rPr>
                <w:rFonts w:cs="Times New Roman"/>
                <w:b/>
                <w:sz w:val="22"/>
                <w:szCs w:val="22"/>
              </w:rPr>
              <w:t>360,75</w:t>
            </w:r>
          </w:p>
        </w:tc>
      </w:tr>
      <w:tr w:rsidR="006F2D5E" w:rsidTr="008733CE">
        <w:trPr>
          <w:trHeight w:val="110"/>
        </w:trPr>
        <w:tc>
          <w:tcPr>
            <w:tcW w:w="1951" w:type="dxa"/>
          </w:tcPr>
          <w:p w:rsidR="006F2D5E" w:rsidRPr="00994A10" w:rsidRDefault="006F2D5E" w:rsidP="008733CE">
            <w:pPr>
              <w:pStyle w:val="Default"/>
              <w:jc w:val="both"/>
              <w:rPr>
                <w:rFonts w:cs="Times New Roman"/>
                <w:sz w:val="22"/>
                <w:szCs w:val="22"/>
              </w:rPr>
            </w:pPr>
            <w:r w:rsidRPr="00994A10">
              <w:rPr>
                <w:rFonts w:cs="Times New Roman"/>
                <w:sz w:val="22"/>
                <w:szCs w:val="22"/>
              </w:rPr>
              <w:t>Hercegovačko-neretvanski kanton</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sz w:val="22"/>
                <w:szCs w:val="22"/>
              </w:rPr>
              <w:t>3.775.000</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sz w:val="22"/>
                <w:szCs w:val="22"/>
              </w:rPr>
              <w:t>224.388</w:t>
            </w:r>
          </w:p>
        </w:tc>
        <w:tc>
          <w:tcPr>
            <w:tcW w:w="1701" w:type="dxa"/>
          </w:tcPr>
          <w:p w:rsidR="006F2D5E" w:rsidRPr="00994A10" w:rsidRDefault="006C0BFE" w:rsidP="008733CE">
            <w:pPr>
              <w:pStyle w:val="Default"/>
              <w:jc w:val="center"/>
              <w:rPr>
                <w:rFonts w:cs="Times New Roman"/>
                <w:sz w:val="22"/>
                <w:szCs w:val="22"/>
              </w:rPr>
            </w:pPr>
            <w:r>
              <w:rPr>
                <w:rFonts w:cs="Times New Roman"/>
                <w:sz w:val="22"/>
                <w:szCs w:val="22"/>
              </w:rPr>
              <w:t>16,</w:t>
            </w:r>
            <w:r w:rsidR="006F2D5E" w:rsidRPr="00994A10">
              <w:rPr>
                <w:rFonts w:cs="Times New Roman"/>
                <w:sz w:val="22"/>
                <w:szCs w:val="22"/>
              </w:rPr>
              <w:t>823</w:t>
            </w:r>
          </w:p>
        </w:tc>
        <w:tc>
          <w:tcPr>
            <w:tcW w:w="2268" w:type="dxa"/>
          </w:tcPr>
          <w:p w:rsidR="006F2D5E" w:rsidRPr="006C0BFE" w:rsidRDefault="006F2D5E" w:rsidP="008733CE">
            <w:pPr>
              <w:pStyle w:val="Default"/>
              <w:jc w:val="center"/>
              <w:rPr>
                <w:rFonts w:cs="Times New Roman"/>
                <w:b/>
                <w:sz w:val="22"/>
                <w:szCs w:val="22"/>
              </w:rPr>
            </w:pPr>
            <w:r w:rsidRPr="006C0BFE">
              <w:rPr>
                <w:rFonts w:cs="Times New Roman"/>
                <w:b/>
                <w:sz w:val="22"/>
                <w:szCs w:val="22"/>
              </w:rPr>
              <w:t>216,00</w:t>
            </w:r>
          </w:p>
        </w:tc>
      </w:tr>
      <w:tr w:rsidR="006F2D5E" w:rsidTr="008733CE">
        <w:trPr>
          <w:trHeight w:val="110"/>
        </w:trPr>
        <w:tc>
          <w:tcPr>
            <w:tcW w:w="1951" w:type="dxa"/>
          </w:tcPr>
          <w:p w:rsidR="006F2D5E" w:rsidRPr="00994A10" w:rsidRDefault="006F2D5E" w:rsidP="008733CE">
            <w:pPr>
              <w:pStyle w:val="Default"/>
              <w:jc w:val="both"/>
              <w:rPr>
                <w:rFonts w:cs="Times New Roman"/>
                <w:sz w:val="22"/>
                <w:szCs w:val="22"/>
              </w:rPr>
            </w:pPr>
            <w:r w:rsidRPr="00994A10">
              <w:rPr>
                <w:rFonts w:cs="Times New Roman"/>
                <w:sz w:val="22"/>
                <w:szCs w:val="22"/>
              </w:rPr>
              <w:t>Zapadnohercegovački kanton</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sz w:val="22"/>
                <w:szCs w:val="22"/>
              </w:rPr>
              <w:t>280.000</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sz w:val="22"/>
                <w:szCs w:val="22"/>
              </w:rPr>
              <w:t>81.570</w:t>
            </w:r>
          </w:p>
        </w:tc>
        <w:tc>
          <w:tcPr>
            <w:tcW w:w="1701" w:type="dxa"/>
          </w:tcPr>
          <w:p w:rsidR="006F2D5E" w:rsidRPr="00994A10" w:rsidRDefault="006C0BFE" w:rsidP="008733CE">
            <w:pPr>
              <w:pStyle w:val="Default"/>
              <w:jc w:val="center"/>
              <w:rPr>
                <w:rFonts w:cs="Times New Roman"/>
                <w:sz w:val="22"/>
                <w:szCs w:val="22"/>
              </w:rPr>
            </w:pPr>
            <w:r>
              <w:rPr>
                <w:rFonts w:cs="Times New Roman"/>
                <w:sz w:val="22"/>
                <w:szCs w:val="22"/>
              </w:rPr>
              <w:t>3,</w:t>
            </w:r>
            <w:r w:rsidR="006F2D5E" w:rsidRPr="00994A10">
              <w:rPr>
                <w:rFonts w:cs="Times New Roman"/>
                <w:sz w:val="22"/>
                <w:szCs w:val="22"/>
              </w:rPr>
              <w:t>432</w:t>
            </w:r>
          </w:p>
        </w:tc>
        <w:tc>
          <w:tcPr>
            <w:tcW w:w="2268" w:type="dxa"/>
          </w:tcPr>
          <w:p w:rsidR="006F2D5E" w:rsidRPr="006C0BFE" w:rsidRDefault="006F2D5E" w:rsidP="008733CE">
            <w:pPr>
              <w:pStyle w:val="Default"/>
              <w:jc w:val="center"/>
              <w:rPr>
                <w:rFonts w:cs="Times New Roman"/>
                <w:b/>
                <w:sz w:val="22"/>
                <w:szCs w:val="22"/>
              </w:rPr>
            </w:pPr>
            <w:r w:rsidRPr="006C0BFE">
              <w:rPr>
                <w:rFonts w:cs="Times New Roman"/>
                <w:b/>
                <w:sz w:val="22"/>
                <w:szCs w:val="22"/>
              </w:rPr>
              <w:t>1058,82</w:t>
            </w:r>
          </w:p>
        </w:tc>
      </w:tr>
      <w:tr w:rsidR="006F2D5E" w:rsidTr="008733CE">
        <w:trPr>
          <w:trHeight w:val="110"/>
        </w:trPr>
        <w:tc>
          <w:tcPr>
            <w:tcW w:w="1951" w:type="dxa"/>
          </w:tcPr>
          <w:p w:rsidR="00DA025C" w:rsidRPr="00994A10" w:rsidRDefault="006F2D5E" w:rsidP="008733CE">
            <w:pPr>
              <w:pStyle w:val="Default"/>
              <w:jc w:val="both"/>
              <w:rPr>
                <w:rFonts w:cs="Times New Roman"/>
                <w:bCs/>
                <w:sz w:val="22"/>
                <w:szCs w:val="22"/>
              </w:rPr>
            </w:pPr>
            <w:r w:rsidRPr="00994A10">
              <w:rPr>
                <w:rFonts w:cs="Times New Roman"/>
                <w:bCs/>
                <w:sz w:val="22"/>
                <w:szCs w:val="22"/>
              </w:rPr>
              <w:t>Kanton Sarajevo</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bCs/>
                <w:sz w:val="22"/>
                <w:szCs w:val="22"/>
              </w:rPr>
              <w:t>15.770.100</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bCs/>
                <w:sz w:val="22"/>
                <w:szCs w:val="22"/>
              </w:rPr>
              <w:t>442.669</w:t>
            </w:r>
          </w:p>
        </w:tc>
        <w:tc>
          <w:tcPr>
            <w:tcW w:w="1701" w:type="dxa"/>
          </w:tcPr>
          <w:p w:rsidR="006F2D5E" w:rsidRPr="00994A10" w:rsidRDefault="006F2D5E" w:rsidP="008733CE">
            <w:pPr>
              <w:pStyle w:val="Default"/>
              <w:jc w:val="center"/>
              <w:rPr>
                <w:rFonts w:cs="Times New Roman"/>
                <w:sz w:val="22"/>
                <w:szCs w:val="22"/>
              </w:rPr>
            </w:pPr>
            <w:r w:rsidRPr="00994A10">
              <w:rPr>
                <w:rFonts w:cs="Times New Roman"/>
                <w:bCs/>
                <w:sz w:val="22"/>
                <w:szCs w:val="22"/>
              </w:rPr>
              <w:t>35,625</w:t>
            </w:r>
          </w:p>
        </w:tc>
        <w:tc>
          <w:tcPr>
            <w:tcW w:w="2268" w:type="dxa"/>
          </w:tcPr>
          <w:p w:rsidR="006F2D5E" w:rsidRPr="006C0BFE" w:rsidRDefault="006F2D5E" w:rsidP="008733CE">
            <w:pPr>
              <w:pStyle w:val="Default"/>
              <w:jc w:val="center"/>
              <w:rPr>
                <w:rFonts w:cs="Times New Roman"/>
                <w:b/>
                <w:bCs/>
                <w:sz w:val="22"/>
                <w:szCs w:val="22"/>
              </w:rPr>
            </w:pPr>
            <w:r w:rsidRPr="006C0BFE">
              <w:rPr>
                <w:rFonts w:cs="Times New Roman"/>
                <w:b/>
                <w:bCs/>
                <w:sz w:val="22"/>
                <w:szCs w:val="22"/>
              </w:rPr>
              <w:t>102,00</w:t>
            </w:r>
          </w:p>
        </w:tc>
      </w:tr>
      <w:tr w:rsidR="006F2D5E" w:rsidTr="008733CE">
        <w:trPr>
          <w:trHeight w:val="110"/>
        </w:trPr>
        <w:tc>
          <w:tcPr>
            <w:tcW w:w="1951" w:type="dxa"/>
          </w:tcPr>
          <w:p w:rsidR="00DA025C" w:rsidRPr="00994A10" w:rsidRDefault="006F2D5E" w:rsidP="008733CE">
            <w:pPr>
              <w:pStyle w:val="Default"/>
              <w:jc w:val="both"/>
              <w:rPr>
                <w:rFonts w:cs="Times New Roman"/>
                <w:sz w:val="22"/>
                <w:szCs w:val="22"/>
              </w:rPr>
            </w:pPr>
            <w:r w:rsidRPr="00994A10">
              <w:rPr>
                <w:rFonts w:cs="Times New Roman"/>
                <w:sz w:val="22"/>
                <w:szCs w:val="22"/>
              </w:rPr>
              <w:t>Kanton 10</w:t>
            </w:r>
          </w:p>
        </w:tc>
        <w:tc>
          <w:tcPr>
            <w:tcW w:w="1985" w:type="dxa"/>
          </w:tcPr>
          <w:p w:rsidR="006F2D5E" w:rsidRPr="00994A10" w:rsidRDefault="006F2D5E" w:rsidP="008733CE">
            <w:pPr>
              <w:pStyle w:val="Default"/>
              <w:jc w:val="center"/>
              <w:rPr>
                <w:rFonts w:cs="Times New Roman"/>
                <w:sz w:val="22"/>
                <w:szCs w:val="22"/>
              </w:rPr>
            </w:pPr>
            <w:r w:rsidRPr="00994A10">
              <w:rPr>
                <w:rFonts w:cs="Times New Roman"/>
                <w:sz w:val="22"/>
                <w:szCs w:val="22"/>
              </w:rPr>
              <w:t>350.000</w:t>
            </w:r>
          </w:p>
        </w:tc>
        <w:tc>
          <w:tcPr>
            <w:tcW w:w="1842" w:type="dxa"/>
          </w:tcPr>
          <w:p w:rsidR="006F2D5E" w:rsidRPr="00994A10" w:rsidRDefault="006F2D5E" w:rsidP="008733CE">
            <w:pPr>
              <w:pStyle w:val="Default"/>
              <w:jc w:val="center"/>
              <w:rPr>
                <w:rFonts w:cs="Times New Roman"/>
                <w:sz w:val="22"/>
                <w:szCs w:val="22"/>
              </w:rPr>
            </w:pPr>
            <w:r w:rsidRPr="00994A10">
              <w:rPr>
                <w:rFonts w:cs="Times New Roman"/>
                <w:sz w:val="22"/>
                <w:szCs w:val="22"/>
              </w:rPr>
              <w:t>78.849</w:t>
            </w:r>
          </w:p>
        </w:tc>
        <w:tc>
          <w:tcPr>
            <w:tcW w:w="1701" w:type="dxa"/>
          </w:tcPr>
          <w:p w:rsidR="006F2D5E" w:rsidRPr="00994A10" w:rsidRDefault="006C0BFE" w:rsidP="008733CE">
            <w:pPr>
              <w:pStyle w:val="Default"/>
              <w:jc w:val="center"/>
              <w:rPr>
                <w:rFonts w:cs="Times New Roman"/>
                <w:sz w:val="22"/>
                <w:szCs w:val="22"/>
              </w:rPr>
            </w:pPr>
            <w:r>
              <w:rPr>
                <w:rFonts w:cs="Times New Roman"/>
                <w:sz w:val="22"/>
                <w:szCs w:val="22"/>
              </w:rPr>
              <w:t>4,</w:t>
            </w:r>
            <w:r w:rsidR="006F2D5E" w:rsidRPr="00994A10">
              <w:rPr>
                <w:rFonts w:cs="Times New Roman"/>
                <w:sz w:val="22"/>
                <w:szCs w:val="22"/>
              </w:rPr>
              <w:t>438</w:t>
            </w:r>
          </w:p>
        </w:tc>
        <w:tc>
          <w:tcPr>
            <w:tcW w:w="2268" w:type="dxa"/>
          </w:tcPr>
          <w:p w:rsidR="006F2D5E" w:rsidRPr="006C0BFE" w:rsidRDefault="006F2D5E" w:rsidP="008733CE">
            <w:pPr>
              <w:pStyle w:val="Default"/>
              <w:jc w:val="center"/>
              <w:rPr>
                <w:rFonts w:cs="Times New Roman"/>
                <w:b/>
                <w:sz w:val="22"/>
                <w:szCs w:val="22"/>
              </w:rPr>
            </w:pPr>
            <w:r w:rsidRPr="006C0BFE">
              <w:rPr>
                <w:rFonts w:cs="Times New Roman"/>
                <w:b/>
                <w:sz w:val="22"/>
                <w:szCs w:val="22"/>
              </w:rPr>
              <w:t>818,81</w:t>
            </w:r>
          </w:p>
        </w:tc>
      </w:tr>
    </w:tbl>
    <w:p w:rsidR="006F2D5E" w:rsidRPr="00D50C42" w:rsidRDefault="006F2D5E" w:rsidP="006F2D5E">
      <w:pPr>
        <w:ind w:firstLine="720"/>
        <w:jc w:val="both"/>
        <w:rPr>
          <w:bCs/>
        </w:rPr>
      </w:pPr>
    </w:p>
    <w:p w:rsidR="006F2D5E" w:rsidRPr="006F2D5E" w:rsidRDefault="006F2D5E" w:rsidP="00981A7A">
      <w:pPr>
        <w:jc w:val="both"/>
        <w:rPr>
          <w:rFonts w:ascii="Arial" w:hAnsi="Arial" w:cs="Arial"/>
        </w:rPr>
      </w:pPr>
      <w:r w:rsidRPr="006F2D5E">
        <w:rPr>
          <w:rFonts w:ascii="Arial" w:hAnsi="Arial" w:cs="Arial"/>
        </w:rPr>
        <w:t xml:space="preserve">Iz navedenog pregleda se vidi da su razlike po kantonima takve i tolike da određeni kantoni zaista imaju posebne rashodovne potrebe te da je neophodno uvođenje broja korisnika socijalne i zdravstvene zaštite kao novih kriterija prilikom raspodjele prihoda u Federaciji BiH </w:t>
      </w:r>
      <w:r w:rsidR="00A10D5E">
        <w:rPr>
          <w:rFonts w:ascii="Arial" w:hAnsi="Arial" w:cs="Arial"/>
        </w:rPr>
        <w:t xml:space="preserve">, </w:t>
      </w:r>
      <w:r w:rsidRPr="006F2D5E">
        <w:rPr>
          <w:rFonts w:ascii="Arial" w:hAnsi="Arial" w:cs="Arial"/>
        </w:rPr>
        <w:t>obzirom da nav</w:t>
      </w:r>
      <w:r w:rsidR="00981A7A">
        <w:rPr>
          <w:rFonts w:ascii="Arial" w:hAnsi="Arial" w:cs="Arial"/>
        </w:rPr>
        <w:t>e</w:t>
      </w:r>
      <w:r w:rsidRPr="006F2D5E">
        <w:rPr>
          <w:rFonts w:ascii="Arial" w:hAnsi="Arial" w:cs="Arial"/>
        </w:rPr>
        <w:t>deni podaci ukazuju da postojeći ponderi za posebne rashodovne potrebe nisu dovoljni</w:t>
      </w:r>
      <w:r w:rsidR="00981A7A">
        <w:rPr>
          <w:rFonts w:ascii="Arial" w:hAnsi="Arial" w:cs="Arial"/>
        </w:rPr>
        <w:t>,</w:t>
      </w:r>
      <w:r w:rsidRPr="006F2D5E">
        <w:rPr>
          <w:rFonts w:ascii="Arial" w:hAnsi="Arial" w:cs="Arial"/>
        </w:rPr>
        <w:t xml:space="preserve"> ali i da nisu pravilno određeni. Naime</w:t>
      </w:r>
      <w:r w:rsidR="001F0C84">
        <w:rPr>
          <w:rFonts w:ascii="Arial" w:hAnsi="Arial" w:cs="Arial"/>
        </w:rPr>
        <w:t>,</w:t>
      </w:r>
      <w:r w:rsidRPr="006F2D5E">
        <w:rPr>
          <w:rFonts w:ascii="Arial" w:hAnsi="Arial" w:cs="Arial"/>
        </w:rPr>
        <w:t xml:space="preserve"> obzirom da su navedene naknade za isti stepen invalidnosti iste u svim kantonima iz navedenog pregleda se vidi da je broj civilnih žrtava rata veći ili da je stepen njihove invalidnosti </w:t>
      </w:r>
      <w:r w:rsidR="00981A7A">
        <w:rPr>
          <w:rFonts w:ascii="Arial" w:hAnsi="Arial" w:cs="Arial"/>
        </w:rPr>
        <w:t xml:space="preserve">npr. </w:t>
      </w:r>
      <w:r w:rsidRPr="006F2D5E">
        <w:rPr>
          <w:rFonts w:ascii="Arial" w:hAnsi="Arial" w:cs="Arial"/>
        </w:rPr>
        <w:t>u Bosansko-</w:t>
      </w:r>
      <w:r w:rsidR="00981A7A">
        <w:rPr>
          <w:rFonts w:ascii="Arial" w:hAnsi="Arial" w:cs="Arial"/>
        </w:rPr>
        <w:t>podrinjskom kantonu Goražde</w:t>
      </w:r>
      <w:r w:rsidRPr="006F2D5E">
        <w:rPr>
          <w:rFonts w:ascii="Arial" w:hAnsi="Arial" w:cs="Arial"/>
        </w:rPr>
        <w:t xml:space="preserve"> veći za 4,27</w:t>
      </w:r>
      <w:r w:rsidR="00981A7A">
        <w:rPr>
          <w:rFonts w:ascii="Arial" w:hAnsi="Arial" w:cs="Arial"/>
        </w:rPr>
        <w:t>8 puta u odnosu na Zeničko-</w:t>
      </w:r>
      <w:r w:rsidRPr="006F2D5E">
        <w:rPr>
          <w:rFonts w:ascii="Arial" w:hAnsi="Arial" w:cs="Arial"/>
        </w:rPr>
        <w:t>dobojski kanton, odnosno veći za 2,969 puta</w:t>
      </w:r>
      <w:r w:rsidR="001C6B80">
        <w:rPr>
          <w:rFonts w:ascii="Arial" w:hAnsi="Arial" w:cs="Arial"/>
        </w:rPr>
        <w:t xml:space="preserve"> u odnosu na Tuzlanski kanton</w:t>
      </w:r>
      <w:r w:rsidR="00981A7A">
        <w:rPr>
          <w:rFonts w:ascii="Arial" w:hAnsi="Arial" w:cs="Arial"/>
        </w:rPr>
        <w:t>,</w:t>
      </w:r>
      <w:r w:rsidR="001C6B80">
        <w:rPr>
          <w:rFonts w:ascii="Arial" w:hAnsi="Arial" w:cs="Arial"/>
        </w:rPr>
        <w:t xml:space="preserve"> dok su</w:t>
      </w:r>
      <w:r w:rsidRPr="006F2D5E">
        <w:rPr>
          <w:rFonts w:ascii="Arial" w:hAnsi="Arial" w:cs="Arial"/>
        </w:rPr>
        <w:t xml:space="preserve"> </w:t>
      </w:r>
      <w:r w:rsidR="001C6B80" w:rsidRPr="006F2D5E">
        <w:rPr>
          <w:rFonts w:ascii="Arial" w:hAnsi="Arial" w:cs="Arial"/>
        </w:rPr>
        <w:t xml:space="preserve">u odnosu na Zapadnohercegovački kanton </w:t>
      </w:r>
      <w:r w:rsidRPr="006F2D5E">
        <w:rPr>
          <w:rFonts w:ascii="Arial" w:hAnsi="Arial" w:cs="Arial"/>
        </w:rPr>
        <w:t>veći za 10,588 puta</w:t>
      </w:r>
      <w:r w:rsidR="001C6B80">
        <w:rPr>
          <w:rFonts w:ascii="Arial" w:hAnsi="Arial" w:cs="Arial"/>
        </w:rPr>
        <w:t>.</w:t>
      </w:r>
      <w:r w:rsidRPr="006F2D5E">
        <w:rPr>
          <w:rFonts w:ascii="Arial" w:hAnsi="Arial" w:cs="Arial"/>
        </w:rPr>
        <w:t xml:space="preserve"> </w:t>
      </w:r>
      <w:r w:rsidR="001C6B80">
        <w:rPr>
          <w:rFonts w:ascii="Arial" w:hAnsi="Arial" w:cs="Arial"/>
        </w:rPr>
        <w:t>Čak je i</w:t>
      </w:r>
      <w:r w:rsidRPr="006F2D5E">
        <w:rPr>
          <w:rFonts w:ascii="Arial" w:hAnsi="Arial" w:cs="Arial"/>
        </w:rPr>
        <w:t xml:space="preserve"> u odnosu na Kanton Sarajevo koji ima veći ponder broj civilnih žrtava rata ili stepen njihove invalidnosti </w:t>
      </w:r>
      <w:r w:rsidR="001C6B80">
        <w:rPr>
          <w:rFonts w:ascii="Arial" w:hAnsi="Arial" w:cs="Arial"/>
        </w:rPr>
        <w:t xml:space="preserve">u </w:t>
      </w:r>
      <w:r w:rsidR="001C6B80" w:rsidRPr="006F2D5E">
        <w:rPr>
          <w:rFonts w:ascii="Arial" w:hAnsi="Arial" w:cs="Arial"/>
        </w:rPr>
        <w:t xml:space="preserve">Bosansko-podrinjskom kantonu Goražde </w:t>
      </w:r>
      <w:r w:rsidRPr="006F2D5E">
        <w:rPr>
          <w:rFonts w:ascii="Arial" w:hAnsi="Arial" w:cs="Arial"/>
        </w:rPr>
        <w:t>veći za 1,02 puta.</w:t>
      </w:r>
    </w:p>
    <w:p w:rsidR="006F2D5E" w:rsidRPr="006F2D5E" w:rsidRDefault="006F2D5E" w:rsidP="00981A7A">
      <w:pPr>
        <w:jc w:val="both"/>
        <w:rPr>
          <w:rFonts w:ascii="Arial" w:hAnsi="Arial" w:cs="Arial"/>
          <w:lang w:val="hr-HR"/>
        </w:rPr>
      </w:pPr>
      <w:r w:rsidRPr="006F2D5E">
        <w:rPr>
          <w:rFonts w:ascii="Arial" w:hAnsi="Arial" w:cs="Arial"/>
          <w:lang w:val="hr-HR"/>
        </w:rPr>
        <w:t xml:space="preserve">Zbog navedenog smatramo da je neophodno Zakon </w:t>
      </w:r>
      <w:r w:rsidRPr="006F2D5E">
        <w:rPr>
          <w:rFonts w:ascii="Arial" w:hAnsi="Arial" w:cs="Arial"/>
        </w:rPr>
        <w:t xml:space="preserve">o pripadnosti javnih prihoda u Federaciji Bosne i Hercegovine uskladiti sa </w:t>
      </w:r>
      <w:r w:rsidRPr="006F2D5E">
        <w:rPr>
          <w:rFonts w:ascii="Arial" w:hAnsi="Arial" w:cs="Arial"/>
          <w:lang w:val="hr-HR"/>
        </w:rPr>
        <w:t>Ustavom Federacije Bosne i Hercegovine i adekvatnom raspodjelom omogućiti kantonima, a posebno Bosansko-podrinjskom kantonu Goražde da finansiraju svoje ustavne nadležnosti što će omogućiti jednake uslove života svim stanovnicima na području cijele Federacije Bosne i Hercegovine.</w:t>
      </w:r>
    </w:p>
    <w:p w:rsidR="00BE1C41" w:rsidRDefault="00BE1C41" w:rsidP="008C3988">
      <w:pPr>
        <w:pStyle w:val="Default"/>
        <w:rPr>
          <w:b/>
          <w:bCs/>
          <w:sz w:val="30"/>
          <w:szCs w:val="30"/>
        </w:rPr>
      </w:pPr>
    </w:p>
    <w:p w:rsidR="009E2259" w:rsidRDefault="009E2259" w:rsidP="008C3988">
      <w:pPr>
        <w:pStyle w:val="Default"/>
        <w:rPr>
          <w:b/>
          <w:bCs/>
          <w:sz w:val="30"/>
          <w:szCs w:val="30"/>
        </w:rPr>
      </w:pPr>
    </w:p>
    <w:p w:rsidR="00313719" w:rsidRDefault="00313719" w:rsidP="008C3988">
      <w:pPr>
        <w:pStyle w:val="Default"/>
        <w:rPr>
          <w:b/>
          <w:bCs/>
          <w:sz w:val="30"/>
          <w:szCs w:val="30"/>
        </w:rPr>
      </w:pPr>
    </w:p>
    <w:p w:rsidR="00313719" w:rsidRDefault="00313719" w:rsidP="008C3988">
      <w:pPr>
        <w:pStyle w:val="Default"/>
        <w:rPr>
          <w:b/>
          <w:bCs/>
          <w:sz w:val="30"/>
          <w:szCs w:val="30"/>
        </w:rPr>
      </w:pPr>
    </w:p>
    <w:p w:rsidR="00313719" w:rsidRDefault="00313719" w:rsidP="008C3988">
      <w:pPr>
        <w:pStyle w:val="Default"/>
        <w:rPr>
          <w:b/>
          <w:bCs/>
          <w:sz w:val="30"/>
          <w:szCs w:val="30"/>
        </w:rPr>
      </w:pPr>
    </w:p>
    <w:p w:rsidR="009E2259" w:rsidRDefault="009E2259" w:rsidP="008C3988">
      <w:pPr>
        <w:pStyle w:val="Default"/>
        <w:rPr>
          <w:b/>
          <w:bCs/>
          <w:sz w:val="30"/>
          <w:szCs w:val="30"/>
        </w:rPr>
      </w:pPr>
    </w:p>
    <w:p w:rsidR="008C3988" w:rsidRPr="00D80D6D" w:rsidRDefault="002E18A2" w:rsidP="00DD15B7">
      <w:pPr>
        <w:pStyle w:val="Default"/>
        <w:rPr>
          <w:rFonts w:ascii="Arial" w:hAnsi="Arial" w:cs="Arial"/>
        </w:rPr>
      </w:pPr>
      <w:r>
        <w:rPr>
          <w:rFonts w:ascii="Arial" w:hAnsi="Arial" w:cs="Arial"/>
          <w:b/>
          <w:bCs/>
        </w:rPr>
        <w:t>5</w:t>
      </w:r>
      <w:r w:rsidR="006F2D5E" w:rsidRPr="00D80D6D">
        <w:rPr>
          <w:rFonts w:ascii="Arial" w:hAnsi="Arial" w:cs="Arial"/>
          <w:b/>
          <w:bCs/>
        </w:rPr>
        <w:t xml:space="preserve">. </w:t>
      </w:r>
      <w:r w:rsidR="008C3988" w:rsidRPr="00D80D6D">
        <w:rPr>
          <w:rFonts w:ascii="Arial" w:hAnsi="Arial" w:cs="Arial"/>
          <w:b/>
          <w:bCs/>
        </w:rPr>
        <w:t xml:space="preserve">KOMPARATIVNI PRIKAZ RASPODJELE JAVNIH PRIHODA OD INDIREKTNIH POREZA </w:t>
      </w:r>
      <w:r w:rsidR="00DD15B7" w:rsidRPr="00D80D6D">
        <w:rPr>
          <w:rFonts w:ascii="Arial" w:hAnsi="Arial" w:cs="Arial"/>
          <w:b/>
          <w:bCs/>
        </w:rPr>
        <w:t xml:space="preserve">U SKLADU SA POSTOJEĆIM </w:t>
      </w:r>
      <w:r w:rsidR="008C3988" w:rsidRPr="00D80D6D">
        <w:rPr>
          <w:rFonts w:ascii="Arial" w:hAnsi="Arial" w:cs="Arial"/>
          <w:b/>
          <w:bCs/>
        </w:rPr>
        <w:t xml:space="preserve">KRITERIJIMA </w:t>
      </w:r>
      <w:r w:rsidR="00DD15B7" w:rsidRPr="00D80D6D">
        <w:rPr>
          <w:rFonts w:ascii="Arial" w:hAnsi="Arial" w:cs="Arial"/>
          <w:b/>
          <w:bCs/>
        </w:rPr>
        <w:t xml:space="preserve"> </w:t>
      </w:r>
      <w:r w:rsidR="008C3988" w:rsidRPr="00D80D6D">
        <w:rPr>
          <w:rFonts w:ascii="Arial" w:hAnsi="Arial" w:cs="Arial"/>
          <w:b/>
          <w:bCs/>
        </w:rPr>
        <w:t xml:space="preserve">SA I BEZ PONDERA </w:t>
      </w:r>
      <w:r w:rsidR="00DD15B7" w:rsidRPr="00D80D6D">
        <w:rPr>
          <w:rFonts w:ascii="Arial" w:hAnsi="Arial" w:cs="Arial"/>
          <w:b/>
          <w:bCs/>
        </w:rPr>
        <w:t>KOJI UKAZUJE NA NEOPHODNOST ZADRŽAVANJA PONDERA DO UVOĐENJA DODATNIH KRITERIJA ZA RASPODJELU</w:t>
      </w:r>
    </w:p>
    <w:p w:rsidR="008C3988" w:rsidRDefault="008C3988" w:rsidP="008C3988">
      <w:pPr>
        <w:jc w:val="both"/>
        <w:rPr>
          <w:sz w:val="26"/>
          <w:szCs w:val="26"/>
        </w:rPr>
      </w:pPr>
    </w:p>
    <w:p w:rsidR="00D95BC5" w:rsidRDefault="008C3988" w:rsidP="00977027">
      <w:pPr>
        <w:jc w:val="both"/>
        <w:rPr>
          <w:rFonts w:ascii="Arial" w:hAnsi="Arial" w:cs="Arial"/>
        </w:rPr>
      </w:pPr>
      <w:r w:rsidRPr="008C3988">
        <w:rPr>
          <w:rFonts w:ascii="Arial" w:hAnsi="Arial" w:cs="Arial"/>
        </w:rPr>
        <w:t xml:space="preserve">Komparativni prikaz načina raspodjele prihoda od indirektnih poreza za kantone Federacije BiH, u skladu sa važećim zakonskim regulativama, kao i prikaz načina raspodjele prihoda od indirektnih poreza za kantone Federacije BiH, korištenjem postojećih kriterija, ali bez pondera koji se koriste za četiri kantona (Kanton Sarajevo, Posavski kanton, Kanton 10 i Bosansko-podrinjski kanton), predstavljen je tabelom 9. </w:t>
      </w:r>
      <w:r w:rsidR="00657C6B">
        <w:rPr>
          <w:rFonts w:ascii="Arial" w:hAnsi="Arial" w:cs="Arial"/>
        </w:rPr>
        <w:t>Iz tog prikaza se vidi da bi kod kantona koji imaju pondere a koji zaista i imaju posebne rashodovne potrebe došlo do smanjenja prihoda u toj mjeri da isti ne bi mogli izvršavati svoje osnovne funkcije. Naime</w:t>
      </w:r>
      <w:r w:rsidR="003477C6">
        <w:rPr>
          <w:rFonts w:ascii="Arial" w:hAnsi="Arial" w:cs="Arial"/>
        </w:rPr>
        <w:t>,</w:t>
      </w:r>
      <w:r w:rsidR="00657C6B">
        <w:rPr>
          <w:rFonts w:ascii="Arial" w:hAnsi="Arial" w:cs="Arial"/>
        </w:rPr>
        <w:t xml:space="preserve"> p</w:t>
      </w:r>
      <w:r w:rsidRPr="008C3988">
        <w:rPr>
          <w:rFonts w:ascii="Arial" w:hAnsi="Arial" w:cs="Arial"/>
        </w:rPr>
        <w:t xml:space="preserve">rimjenom navedenog principa od 1.201.269.009 KM ukupnih prihoda od indirektnih poreza koji se raspoređuju kantonima, </w:t>
      </w:r>
      <w:r w:rsidR="00657C6B">
        <w:rPr>
          <w:rFonts w:ascii="Arial" w:hAnsi="Arial" w:cs="Arial"/>
        </w:rPr>
        <w:t>Bosansko-podrinjskom kantonu Goražde</w:t>
      </w:r>
      <w:r w:rsidRPr="008C3988">
        <w:rPr>
          <w:rFonts w:ascii="Arial" w:hAnsi="Arial" w:cs="Arial"/>
        </w:rPr>
        <w:t xml:space="preserve"> bi u 2015. godini </w:t>
      </w:r>
      <w:r w:rsidRPr="00981A7A">
        <w:rPr>
          <w:rFonts w:ascii="Arial" w:hAnsi="Arial" w:cs="Arial"/>
          <w:bCs/>
        </w:rPr>
        <w:t xml:space="preserve">pripalo </w:t>
      </w:r>
      <w:r w:rsidR="00891ED7" w:rsidRPr="00981A7A">
        <w:rPr>
          <w:rFonts w:ascii="Arial" w:hAnsi="Arial" w:cs="Arial"/>
          <w:bCs/>
        </w:rPr>
        <w:t>15.710.427</w:t>
      </w:r>
      <w:r w:rsidR="00657C6B" w:rsidRPr="00981A7A">
        <w:rPr>
          <w:rFonts w:ascii="Arial" w:hAnsi="Arial" w:cs="Arial"/>
          <w:bCs/>
        </w:rPr>
        <w:t>,00</w:t>
      </w:r>
      <w:r w:rsidRPr="00981A7A">
        <w:rPr>
          <w:rFonts w:ascii="Arial" w:hAnsi="Arial" w:cs="Arial"/>
          <w:bCs/>
        </w:rPr>
        <w:t xml:space="preserve"> KM odnosno </w:t>
      </w:r>
      <w:r w:rsidR="00891ED7" w:rsidRPr="00981A7A">
        <w:rPr>
          <w:rFonts w:ascii="Arial" w:hAnsi="Arial" w:cs="Arial"/>
          <w:bCs/>
        </w:rPr>
        <w:t>1,308</w:t>
      </w:r>
      <w:r w:rsidR="00657C6B" w:rsidRPr="00981A7A">
        <w:rPr>
          <w:rFonts w:ascii="Arial" w:hAnsi="Arial" w:cs="Arial"/>
          <w:bCs/>
        </w:rPr>
        <w:t xml:space="preserve"> </w:t>
      </w:r>
      <w:r w:rsidRPr="00981A7A">
        <w:rPr>
          <w:rFonts w:ascii="Arial" w:hAnsi="Arial" w:cs="Arial"/>
          <w:bCs/>
        </w:rPr>
        <w:t xml:space="preserve">% od ukupnih prihoda umjesto </w:t>
      </w:r>
      <w:r w:rsidR="00891ED7" w:rsidRPr="00981A7A">
        <w:rPr>
          <w:rFonts w:ascii="Arial" w:hAnsi="Arial" w:cs="Arial"/>
          <w:bCs/>
        </w:rPr>
        <w:t xml:space="preserve">23.628.605,00 </w:t>
      </w:r>
      <w:r w:rsidRPr="00981A7A">
        <w:rPr>
          <w:rFonts w:ascii="Arial" w:hAnsi="Arial" w:cs="Arial"/>
          <w:bCs/>
        </w:rPr>
        <w:t xml:space="preserve">KM odnosno </w:t>
      </w:r>
      <w:r w:rsidR="00891ED7" w:rsidRPr="00981A7A">
        <w:rPr>
          <w:rFonts w:ascii="Arial" w:hAnsi="Arial" w:cs="Arial"/>
          <w:bCs/>
        </w:rPr>
        <w:t xml:space="preserve">1,967 </w:t>
      </w:r>
      <w:r w:rsidRPr="00981A7A">
        <w:rPr>
          <w:rFonts w:ascii="Arial" w:hAnsi="Arial" w:cs="Arial"/>
          <w:bCs/>
        </w:rPr>
        <w:t xml:space="preserve">%, što je za </w:t>
      </w:r>
      <w:r w:rsidR="00891ED7" w:rsidRPr="00981A7A">
        <w:rPr>
          <w:rFonts w:ascii="Arial" w:hAnsi="Arial" w:cs="Arial"/>
          <w:bCs/>
        </w:rPr>
        <w:t xml:space="preserve">7.918.178,00 </w:t>
      </w:r>
      <w:r w:rsidRPr="00981A7A">
        <w:rPr>
          <w:rFonts w:ascii="Arial" w:hAnsi="Arial" w:cs="Arial"/>
          <w:bCs/>
        </w:rPr>
        <w:t xml:space="preserve">KM </w:t>
      </w:r>
      <w:r w:rsidR="00891ED7" w:rsidRPr="00981A7A">
        <w:rPr>
          <w:rFonts w:ascii="Arial" w:hAnsi="Arial" w:cs="Arial"/>
          <w:bCs/>
        </w:rPr>
        <w:t>manje</w:t>
      </w:r>
      <w:r w:rsidR="00891ED7">
        <w:rPr>
          <w:rFonts w:ascii="Arial" w:hAnsi="Arial" w:cs="Arial"/>
        </w:rPr>
        <w:t>. U navedenom slučaju Bosansko-podrinjski kanton Goražde bi imao prihode od 484,00 KM po stanovniku što je najmanje u Federaciji Bosne i Hercegovine</w:t>
      </w:r>
      <w:r w:rsidR="00981A7A">
        <w:rPr>
          <w:rFonts w:ascii="Arial" w:hAnsi="Arial" w:cs="Arial"/>
        </w:rPr>
        <w:t>,</w:t>
      </w:r>
      <w:r w:rsidR="00891ED7">
        <w:rPr>
          <w:rFonts w:ascii="Arial" w:hAnsi="Arial" w:cs="Arial"/>
        </w:rPr>
        <w:t xml:space="preserve"> iako se</w:t>
      </w:r>
      <w:r w:rsidR="00981A7A">
        <w:rPr>
          <w:rFonts w:ascii="Arial" w:hAnsi="Arial" w:cs="Arial"/>
        </w:rPr>
        <w:t>,</w:t>
      </w:r>
      <w:r w:rsidR="00891ED7">
        <w:rPr>
          <w:rFonts w:ascii="Arial" w:hAnsi="Arial" w:cs="Arial"/>
        </w:rPr>
        <w:t xml:space="preserve"> kao što se vidi iz pre</w:t>
      </w:r>
      <w:r w:rsidR="003477C6">
        <w:rPr>
          <w:rFonts w:ascii="Arial" w:hAnsi="Arial" w:cs="Arial"/>
        </w:rPr>
        <w:t>t</w:t>
      </w:r>
      <w:r w:rsidR="00891ED7">
        <w:rPr>
          <w:rFonts w:ascii="Arial" w:hAnsi="Arial" w:cs="Arial"/>
        </w:rPr>
        <w:t>hodnog poglavlja radi o Kantonu koji ima najveće potrebe u pogledu socijalne i zdravstvene zaštite u Federaciji BiH. S druge strane</w:t>
      </w:r>
      <w:r w:rsidR="003477C6">
        <w:rPr>
          <w:rFonts w:ascii="Arial" w:hAnsi="Arial" w:cs="Arial"/>
        </w:rPr>
        <w:t>,</w:t>
      </w:r>
      <w:r w:rsidR="00891ED7">
        <w:rPr>
          <w:rFonts w:ascii="Arial" w:hAnsi="Arial" w:cs="Arial"/>
        </w:rPr>
        <w:t xml:space="preserve"> Zapadnohercegovački kanton</w:t>
      </w:r>
      <w:r w:rsidR="00981A7A">
        <w:rPr>
          <w:rFonts w:ascii="Arial" w:hAnsi="Arial" w:cs="Arial"/>
        </w:rPr>
        <w:t>,</w:t>
      </w:r>
      <w:r w:rsidR="00891ED7">
        <w:rPr>
          <w:rFonts w:ascii="Arial" w:hAnsi="Arial" w:cs="Arial"/>
        </w:rPr>
        <w:t xml:space="preserve"> koji ima cca </w:t>
      </w:r>
      <w:r w:rsidR="00891ED7" w:rsidRPr="006F2D5E">
        <w:rPr>
          <w:rFonts w:ascii="Arial" w:hAnsi="Arial" w:cs="Arial"/>
        </w:rPr>
        <w:t>10 puta</w:t>
      </w:r>
      <w:r w:rsidR="00891ED7">
        <w:rPr>
          <w:rFonts w:ascii="Arial" w:hAnsi="Arial" w:cs="Arial"/>
        </w:rPr>
        <w:t xml:space="preserve"> manje potrebe u pogledu socijalne i zdravstvene zaštite imao bi prihode od 576,00 KM po stanovniku.</w:t>
      </w:r>
    </w:p>
    <w:p w:rsidR="00D95BC5" w:rsidRDefault="00D95BC5" w:rsidP="00977027">
      <w:pPr>
        <w:jc w:val="both"/>
        <w:rPr>
          <w:rFonts w:ascii="Arial" w:hAnsi="Arial" w:cs="Arial"/>
        </w:rPr>
      </w:pPr>
    </w:p>
    <w:p w:rsidR="002221D8" w:rsidRPr="00994A10" w:rsidRDefault="00DF3CA1" w:rsidP="008C3988">
      <w:pPr>
        <w:jc w:val="both"/>
        <w:rPr>
          <w:rFonts w:ascii="Garamond" w:hAnsi="Garamond" w:cs="Arial"/>
          <w:b/>
          <w:bCs/>
        </w:rPr>
      </w:pPr>
      <w:r>
        <w:rPr>
          <w:rFonts w:ascii="Garamond" w:hAnsi="Garamond"/>
          <w:b/>
          <w:bCs/>
        </w:rPr>
        <w:t>Tabela 7</w:t>
      </w:r>
      <w:r w:rsidR="002221D8" w:rsidRPr="00994A10">
        <w:rPr>
          <w:rFonts w:ascii="Garamond" w:hAnsi="Garamond"/>
          <w:b/>
          <w:bCs/>
        </w:rPr>
        <w:t xml:space="preserve">. </w:t>
      </w:r>
      <w:r w:rsidR="002221D8" w:rsidRPr="00994A10">
        <w:rPr>
          <w:rFonts w:ascii="Garamond" w:hAnsi="Garamond"/>
        </w:rPr>
        <w:t>Komparativni prikaz načina raspodjele javnih prihoda za kantone FBiH sa ponderima i bez pondera</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1134"/>
        <w:gridCol w:w="992"/>
        <w:gridCol w:w="709"/>
        <w:gridCol w:w="851"/>
        <w:gridCol w:w="1134"/>
        <w:gridCol w:w="992"/>
        <w:gridCol w:w="709"/>
        <w:gridCol w:w="992"/>
        <w:gridCol w:w="628"/>
      </w:tblGrid>
      <w:tr w:rsidR="002221D8" w:rsidTr="002221D8">
        <w:trPr>
          <w:trHeight w:val="285"/>
        </w:trPr>
        <w:tc>
          <w:tcPr>
            <w:tcW w:w="1101" w:type="dxa"/>
          </w:tcPr>
          <w:p w:rsidR="002221D8" w:rsidRDefault="002221D8">
            <w:pPr>
              <w:pStyle w:val="Default"/>
              <w:rPr>
                <w:sz w:val="15"/>
                <w:szCs w:val="15"/>
              </w:rPr>
            </w:pPr>
            <w:r>
              <w:rPr>
                <w:b/>
                <w:bCs/>
                <w:sz w:val="15"/>
                <w:szCs w:val="15"/>
              </w:rPr>
              <w:t xml:space="preserve">Rapodjela prihoda </w:t>
            </w:r>
          </w:p>
        </w:tc>
        <w:tc>
          <w:tcPr>
            <w:tcW w:w="3685" w:type="dxa"/>
            <w:gridSpan w:val="4"/>
          </w:tcPr>
          <w:p w:rsidR="002221D8" w:rsidRDefault="002221D8">
            <w:pPr>
              <w:pStyle w:val="Default"/>
              <w:rPr>
                <w:sz w:val="15"/>
                <w:szCs w:val="15"/>
              </w:rPr>
            </w:pPr>
            <w:r>
              <w:rPr>
                <w:b/>
                <w:bCs/>
                <w:sz w:val="15"/>
                <w:szCs w:val="15"/>
              </w:rPr>
              <w:t xml:space="preserve">Raspodjela prihoda sa ponderima </w:t>
            </w:r>
          </w:p>
        </w:tc>
        <w:tc>
          <w:tcPr>
            <w:tcW w:w="3686" w:type="dxa"/>
            <w:gridSpan w:val="4"/>
          </w:tcPr>
          <w:p w:rsidR="002221D8" w:rsidRDefault="002221D8">
            <w:pPr>
              <w:pStyle w:val="Default"/>
              <w:rPr>
                <w:sz w:val="15"/>
                <w:szCs w:val="15"/>
              </w:rPr>
            </w:pPr>
            <w:r>
              <w:rPr>
                <w:b/>
                <w:bCs/>
                <w:sz w:val="15"/>
                <w:szCs w:val="15"/>
              </w:rPr>
              <w:t xml:space="preserve">Raspodjela prihoda bez pondera </w:t>
            </w:r>
          </w:p>
        </w:tc>
        <w:tc>
          <w:tcPr>
            <w:tcW w:w="1620" w:type="dxa"/>
            <w:gridSpan w:val="2"/>
          </w:tcPr>
          <w:p w:rsidR="002221D8" w:rsidRDefault="002221D8">
            <w:pPr>
              <w:pStyle w:val="Default"/>
              <w:rPr>
                <w:sz w:val="15"/>
                <w:szCs w:val="15"/>
              </w:rPr>
            </w:pPr>
            <w:r>
              <w:rPr>
                <w:b/>
                <w:bCs/>
                <w:sz w:val="15"/>
                <w:szCs w:val="15"/>
              </w:rPr>
              <w:t xml:space="preserve">Razlika = prihodi bez pondera - prihodi sa ponderima </w:t>
            </w:r>
          </w:p>
        </w:tc>
      </w:tr>
      <w:tr w:rsidR="002221D8" w:rsidTr="002221D8">
        <w:trPr>
          <w:trHeight w:val="241"/>
        </w:trPr>
        <w:tc>
          <w:tcPr>
            <w:tcW w:w="1101" w:type="dxa"/>
          </w:tcPr>
          <w:p w:rsidR="002221D8" w:rsidRDefault="002221D8">
            <w:pPr>
              <w:pStyle w:val="Default"/>
              <w:rPr>
                <w:sz w:val="15"/>
                <w:szCs w:val="15"/>
              </w:rPr>
            </w:pPr>
            <w:r>
              <w:rPr>
                <w:b/>
                <w:bCs/>
                <w:sz w:val="15"/>
                <w:szCs w:val="15"/>
              </w:rPr>
              <w:t xml:space="preserve">Prihodi po kantonima </w:t>
            </w:r>
          </w:p>
        </w:tc>
        <w:tc>
          <w:tcPr>
            <w:tcW w:w="1984" w:type="dxa"/>
            <w:gridSpan w:val="2"/>
          </w:tcPr>
          <w:p w:rsidR="002221D8" w:rsidRDefault="002221D8">
            <w:pPr>
              <w:pStyle w:val="Default"/>
              <w:rPr>
                <w:sz w:val="15"/>
                <w:szCs w:val="15"/>
              </w:rPr>
            </w:pPr>
            <w:r>
              <w:rPr>
                <w:b/>
                <w:bCs/>
                <w:sz w:val="15"/>
                <w:szCs w:val="15"/>
              </w:rPr>
              <w:t xml:space="preserve">Prihodi kantona po stanovniku </w:t>
            </w:r>
          </w:p>
        </w:tc>
        <w:tc>
          <w:tcPr>
            <w:tcW w:w="1701" w:type="dxa"/>
            <w:gridSpan w:val="2"/>
          </w:tcPr>
          <w:p w:rsidR="002221D8" w:rsidRDefault="002221D8">
            <w:pPr>
              <w:pStyle w:val="Default"/>
              <w:rPr>
                <w:sz w:val="15"/>
                <w:szCs w:val="15"/>
              </w:rPr>
            </w:pPr>
            <w:r>
              <w:rPr>
                <w:b/>
                <w:bCs/>
                <w:sz w:val="15"/>
                <w:szCs w:val="15"/>
              </w:rPr>
              <w:t xml:space="preserve">Prihodi po kantonima </w:t>
            </w:r>
          </w:p>
        </w:tc>
        <w:tc>
          <w:tcPr>
            <w:tcW w:w="1985" w:type="dxa"/>
            <w:gridSpan w:val="2"/>
          </w:tcPr>
          <w:p w:rsidR="002221D8" w:rsidRDefault="002221D8">
            <w:pPr>
              <w:pStyle w:val="Default"/>
              <w:rPr>
                <w:sz w:val="15"/>
                <w:szCs w:val="15"/>
              </w:rPr>
            </w:pPr>
            <w:r>
              <w:rPr>
                <w:b/>
                <w:bCs/>
                <w:sz w:val="15"/>
                <w:szCs w:val="15"/>
              </w:rPr>
              <w:t xml:space="preserve">Prihodi kantona po stanovniku </w:t>
            </w:r>
          </w:p>
        </w:tc>
        <w:tc>
          <w:tcPr>
            <w:tcW w:w="1701" w:type="dxa"/>
            <w:gridSpan w:val="2"/>
          </w:tcPr>
          <w:p w:rsidR="002221D8" w:rsidRDefault="002221D8">
            <w:pPr>
              <w:pStyle w:val="Default"/>
              <w:rPr>
                <w:sz w:val="15"/>
                <w:szCs w:val="15"/>
              </w:rPr>
            </w:pPr>
            <w:r>
              <w:rPr>
                <w:b/>
                <w:bCs/>
                <w:sz w:val="15"/>
                <w:szCs w:val="15"/>
              </w:rPr>
              <w:t xml:space="preserve">Po kantonima </w:t>
            </w:r>
          </w:p>
        </w:tc>
        <w:tc>
          <w:tcPr>
            <w:tcW w:w="1620" w:type="dxa"/>
            <w:gridSpan w:val="2"/>
          </w:tcPr>
          <w:p w:rsidR="002221D8" w:rsidRDefault="002221D8">
            <w:pPr>
              <w:pStyle w:val="Default"/>
              <w:rPr>
                <w:sz w:val="15"/>
                <w:szCs w:val="15"/>
              </w:rPr>
            </w:pPr>
            <w:r>
              <w:rPr>
                <w:b/>
                <w:bCs/>
                <w:sz w:val="15"/>
                <w:szCs w:val="15"/>
              </w:rPr>
              <w:t xml:space="preserve">Po stanov-niku </w:t>
            </w:r>
          </w:p>
        </w:tc>
      </w:tr>
      <w:tr w:rsidR="002221D8" w:rsidTr="002221D8">
        <w:trPr>
          <w:trHeight w:val="156"/>
        </w:trPr>
        <w:tc>
          <w:tcPr>
            <w:tcW w:w="1101" w:type="dxa"/>
          </w:tcPr>
          <w:p w:rsidR="002221D8" w:rsidRDefault="002221D8">
            <w:pPr>
              <w:pStyle w:val="Default"/>
              <w:rPr>
                <w:sz w:val="15"/>
                <w:szCs w:val="15"/>
              </w:rPr>
            </w:pPr>
            <w:r>
              <w:rPr>
                <w:b/>
                <w:bCs/>
                <w:sz w:val="15"/>
                <w:szCs w:val="15"/>
              </w:rPr>
              <w:t xml:space="preserve">Kanton </w:t>
            </w:r>
          </w:p>
        </w:tc>
        <w:tc>
          <w:tcPr>
            <w:tcW w:w="850" w:type="dxa"/>
          </w:tcPr>
          <w:p w:rsidR="002221D8" w:rsidRDefault="002221D8">
            <w:pPr>
              <w:pStyle w:val="Default"/>
              <w:rPr>
                <w:sz w:val="15"/>
                <w:szCs w:val="15"/>
              </w:rPr>
            </w:pPr>
            <w:r>
              <w:rPr>
                <w:b/>
                <w:bCs/>
                <w:sz w:val="15"/>
                <w:szCs w:val="15"/>
              </w:rPr>
              <w:t xml:space="preserve">Udio prihoda </w:t>
            </w:r>
          </w:p>
        </w:tc>
        <w:tc>
          <w:tcPr>
            <w:tcW w:w="1134" w:type="dxa"/>
          </w:tcPr>
          <w:p w:rsidR="002221D8" w:rsidRDefault="002221D8">
            <w:pPr>
              <w:pStyle w:val="Default"/>
              <w:rPr>
                <w:sz w:val="15"/>
                <w:szCs w:val="15"/>
              </w:rPr>
            </w:pPr>
            <w:r>
              <w:rPr>
                <w:b/>
                <w:bCs/>
                <w:sz w:val="15"/>
                <w:szCs w:val="15"/>
              </w:rPr>
              <w:t xml:space="preserve">Iznos (KM) </w:t>
            </w:r>
          </w:p>
        </w:tc>
        <w:tc>
          <w:tcPr>
            <w:tcW w:w="992" w:type="dxa"/>
          </w:tcPr>
          <w:p w:rsidR="002221D8" w:rsidRDefault="002221D8">
            <w:pPr>
              <w:pStyle w:val="Default"/>
              <w:rPr>
                <w:sz w:val="15"/>
                <w:szCs w:val="15"/>
              </w:rPr>
            </w:pPr>
            <w:r>
              <w:rPr>
                <w:b/>
                <w:bCs/>
                <w:sz w:val="15"/>
                <w:szCs w:val="15"/>
              </w:rPr>
              <w:t xml:space="preserve">Broj stanovnika </w:t>
            </w:r>
          </w:p>
        </w:tc>
        <w:tc>
          <w:tcPr>
            <w:tcW w:w="709" w:type="dxa"/>
          </w:tcPr>
          <w:p w:rsidR="002221D8" w:rsidRDefault="002221D8">
            <w:pPr>
              <w:pStyle w:val="Default"/>
              <w:rPr>
                <w:sz w:val="15"/>
                <w:szCs w:val="15"/>
              </w:rPr>
            </w:pPr>
            <w:r>
              <w:rPr>
                <w:b/>
                <w:bCs/>
                <w:sz w:val="15"/>
                <w:szCs w:val="15"/>
              </w:rPr>
              <w:t xml:space="preserve">Iznos (KM) </w:t>
            </w:r>
          </w:p>
        </w:tc>
        <w:tc>
          <w:tcPr>
            <w:tcW w:w="851" w:type="dxa"/>
          </w:tcPr>
          <w:p w:rsidR="002221D8" w:rsidRDefault="002221D8">
            <w:pPr>
              <w:pStyle w:val="Default"/>
              <w:rPr>
                <w:sz w:val="15"/>
                <w:szCs w:val="15"/>
              </w:rPr>
            </w:pPr>
            <w:r>
              <w:rPr>
                <w:b/>
                <w:bCs/>
                <w:sz w:val="15"/>
                <w:szCs w:val="15"/>
              </w:rPr>
              <w:t xml:space="preserve">Udio prihoda </w:t>
            </w:r>
          </w:p>
        </w:tc>
        <w:tc>
          <w:tcPr>
            <w:tcW w:w="1134" w:type="dxa"/>
          </w:tcPr>
          <w:p w:rsidR="002221D8" w:rsidRDefault="002221D8">
            <w:pPr>
              <w:pStyle w:val="Default"/>
              <w:rPr>
                <w:sz w:val="15"/>
                <w:szCs w:val="15"/>
              </w:rPr>
            </w:pPr>
            <w:r>
              <w:rPr>
                <w:b/>
                <w:bCs/>
                <w:sz w:val="15"/>
                <w:szCs w:val="15"/>
              </w:rPr>
              <w:t xml:space="preserve">Iznos (KM) </w:t>
            </w:r>
          </w:p>
        </w:tc>
        <w:tc>
          <w:tcPr>
            <w:tcW w:w="992" w:type="dxa"/>
          </w:tcPr>
          <w:p w:rsidR="002221D8" w:rsidRDefault="002221D8">
            <w:pPr>
              <w:pStyle w:val="Default"/>
              <w:rPr>
                <w:sz w:val="15"/>
                <w:szCs w:val="15"/>
              </w:rPr>
            </w:pPr>
            <w:r>
              <w:rPr>
                <w:b/>
                <w:bCs/>
                <w:sz w:val="15"/>
                <w:szCs w:val="15"/>
              </w:rPr>
              <w:t xml:space="preserve">Broj stanovnika </w:t>
            </w:r>
          </w:p>
        </w:tc>
        <w:tc>
          <w:tcPr>
            <w:tcW w:w="709" w:type="dxa"/>
          </w:tcPr>
          <w:p w:rsidR="002221D8" w:rsidRDefault="002221D8">
            <w:pPr>
              <w:pStyle w:val="Default"/>
              <w:rPr>
                <w:sz w:val="15"/>
                <w:szCs w:val="15"/>
              </w:rPr>
            </w:pPr>
            <w:r>
              <w:rPr>
                <w:b/>
                <w:bCs/>
                <w:sz w:val="15"/>
                <w:szCs w:val="15"/>
              </w:rPr>
              <w:t xml:space="preserve">Iznos (KM) </w:t>
            </w:r>
          </w:p>
        </w:tc>
        <w:tc>
          <w:tcPr>
            <w:tcW w:w="992" w:type="dxa"/>
          </w:tcPr>
          <w:p w:rsidR="002221D8" w:rsidRDefault="002221D8">
            <w:pPr>
              <w:pStyle w:val="Default"/>
              <w:rPr>
                <w:sz w:val="15"/>
                <w:szCs w:val="15"/>
              </w:rPr>
            </w:pPr>
            <w:r>
              <w:rPr>
                <w:b/>
                <w:bCs/>
                <w:sz w:val="15"/>
                <w:szCs w:val="15"/>
              </w:rPr>
              <w:t xml:space="preserve">Iznos (KM) </w:t>
            </w:r>
          </w:p>
        </w:tc>
        <w:tc>
          <w:tcPr>
            <w:tcW w:w="628" w:type="dxa"/>
          </w:tcPr>
          <w:p w:rsidR="002221D8" w:rsidRDefault="002221D8">
            <w:pPr>
              <w:pStyle w:val="Default"/>
              <w:rPr>
                <w:sz w:val="15"/>
                <w:szCs w:val="15"/>
              </w:rPr>
            </w:pPr>
            <w:r>
              <w:rPr>
                <w:b/>
                <w:bCs/>
                <w:sz w:val="15"/>
                <w:szCs w:val="15"/>
              </w:rPr>
              <w:t xml:space="preserve">Iznos (KM) </w:t>
            </w:r>
          </w:p>
        </w:tc>
      </w:tr>
      <w:tr w:rsidR="002221D8" w:rsidTr="002221D8">
        <w:trPr>
          <w:trHeight w:val="69"/>
        </w:trPr>
        <w:tc>
          <w:tcPr>
            <w:tcW w:w="1101" w:type="dxa"/>
          </w:tcPr>
          <w:p w:rsidR="002221D8" w:rsidRDefault="002221D8">
            <w:pPr>
              <w:pStyle w:val="Default"/>
              <w:rPr>
                <w:sz w:val="15"/>
                <w:szCs w:val="15"/>
              </w:rPr>
            </w:pPr>
            <w:r>
              <w:rPr>
                <w:sz w:val="15"/>
                <w:szCs w:val="15"/>
              </w:rPr>
              <w:t xml:space="preserve">Unsko-sanski kanton </w:t>
            </w:r>
          </w:p>
        </w:tc>
        <w:tc>
          <w:tcPr>
            <w:tcW w:w="850" w:type="dxa"/>
          </w:tcPr>
          <w:p w:rsidR="002221D8" w:rsidRDefault="002221D8">
            <w:pPr>
              <w:pStyle w:val="Default"/>
              <w:rPr>
                <w:sz w:val="15"/>
                <w:szCs w:val="15"/>
              </w:rPr>
            </w:pPr>
            <w:r>
              <w:rPr>
                <w:sz w:val="15"/>
                <w:szCs w:val="15"/>
              </w:rPr>
              <w:t xml:space="preserve">10,460% </w:t>
            </w:r>
          </w:p>
        </w:tc>
        <w:tc>
          <w:tcPr>
            <w:tcW w:w="1134" w:type="dxa"/>
          </w:tcPr>
          <w:p w:rsidR="002221D8" w:rsidRDefault="002221D8">
            <w:pPr>
              <w:pStyle w:val="Default"/>
              <w:rPr>
                <w:sz w:val="15"/>
                <w:szCs w:val="15"/>
              </w:rPr>
            </w:pPr>
            <w:r>
              <w:rPr>
                <w:sz w:val="15"/>
                <w:szCs w:val="15"/>
              </w:rPr>
              <w:t xml:space="preserve">125.651.426 </w:t>
            </w:r>
          </w:p>
        </w:tc>
        <w:tc>
          <w:tcPr>
            <w:tcW w:w="992" w:type="dxa"/>
          </w:tcPr>
          <w:p w:rsidR="002221D8" w:rsidRDefault="002221D8">
            <w:pPr>
              <w:pStyle w:val="Default"/>
              <w:rPr>
                <w:sz w:val="15"/>
                <w:szCs w:val="15"/>
              </w:rPr>
            </w:pPr>
            <w:r>
              <w:rPr>
                <w:sz w:val="15"/>
                <w:szCs w:val="15"/>
              </w:rPr>
              <w:t xml:space="preserve">287.621 </w:t>
            </w:r>
          </w:p>
        </w:tc>
        <w:tc>
          <w:tcPr>
            <w:tcW w:w="709" w:type="dxa"/>
          </w:tcPr>
          <w:p w:rsidR="002221D8" w:rsidRDefault="002221D8">
            <w:pPr>
              <w:pStyle w:val="Default"/>
              <w:rPr>
                <w:sz w:val="15"/>
                <w:szCs w:val="15"/>
              </w:rPr>
            </w:pPr>
            <w:r>
              <w:rPr>
                <w:sz w:val="15"/>
                <w:szCs w:val="15"/>
              </w:rPr>
              <w:t xml:space="preserve">437 </w:t>
            </w:r>
          </w:p>
        </w:tc>
        <w:tc>
          <w:tcPr>
            <w:tcW w:w="851" w:type="dxa"/>
          </w:tcPr>
          <w:p w:rsidR="002221D8" w:rsidRDefault="002221D8">
            <w:pPr>
              <w:pStyle w:val="Default"/>
              <w:rPr>
                <w:sz w:val="15"/>
                <w:szCs w:val="15"/>
              </w:rPr>
            </w:pPr>
            <w:r>
              <w:rPr>
                <w:sz w:val="15"/>
                <w:szCs w:val="15"/>
              </w:rPr>
              <w:t xml:space="preserve">12,531% </w:t>
            </w:r>
          </w:p>
        </w:tc>
        <w:tc>
          <w:tcPr>
            <w:tcW w:w="1134" w:type="dxa"/>
          </w:tcPr>
          <w:p w:rsidR="002221D8" w:rsidRDefault="002221D8">
            <w:pPr>
              <w:pStyle w:val="Default"/>
              <w:rPr>
                <w:sz w:val="15"/>
                <w:szCs w:val="15"/>
              </w:rPr>
            </w:pPr>
            <w:r>
              <w:rPr>
                <w:sz w:val="15"/>
                <w:szCs w:val="15"/>
              </w:rPr>
              <w:t xml:space="preserve">150.526.400 </w:t>
            </w:r>
          </w:p>
        </w:tc>
        <w:tc>
          <w:tcPr>
            <w:tcW w:w="992" w:type="dxa"/>
          </w:tcPr>
          <w:p w:rsidR="002221D8" w:rsidRDefault="002221D8">
            <w:pPr>
              <w:pStyle w:val="Default"/>
              <w:rPr>
                <w:sz w:val="15"/>
                <w:szCs w:val="15"/>
              </w:rPr>
            </w:pPr>
            <w:r>
              <w:rPr>
                <w:sz w:val="15"/>
                <w:szCs w:val="15"/>
              </w:rPr>
              <w:t xml:space="preserve">287.621 </w:t>
            </w:r>
          </w:p>
        </w:tc>
        <w:tc>
          <w:tcPr>
            <w:tcW w:w="709" w:type="dxa"/>
          </w:tcPr>
          <w:p w:rsidR="002221D8" w:rsidRDefault="002221D8">
            <w:pPr>
              <w:pStyle w:val="Default"/>
              <w:rPr>
                <w:sz w:val="15"/>
                <w:szCs w:val="15"/>
              </w:rPr>
            </w:pPr>
            <w:r>
              <w:rPr>
                <w:sz w:val="15"/>
                <w:szCs w:val="15"/>
              </w:rPr>
              <w:t xml:space="preserve">523 </w:t>
            </w:r>
          </w:p>
        </w:tc>
        <w:tc>
          <w:tcPr>
            <w:tcW w:w="992" w:type="dxa"/>
          </w:tcPr>
          <w:p w:rsidR="002221D8" w:rsidRDefault="002221D8">
            <w:pPr>
              <w:pStyle w:val="Default"/>
              <w:rPr>
                <w:sz w:val="15"/>
                <w:szCs w:val="15"/>
              </w:rPr>
            </w:pPr>
            <w:r>
              <w:rPr>
                <w:sz w:val="15"/>
                <w:szCs w:val="15"/>
              </w:rPr>
              <w:t xml:space="preserve">24.874.974 </w:t>
            </w:r>
          </w:p>
        </w:tc>
        <w:tc>
          <w:tcPr>
            <w:tcW w:w="628" w:type="dxa"/>
          </w:tcPr>
          <w:p w:rsidR="002221D8" w:rsidRDefault="002221D8">
            <w:pPr>
              <w:pStyle w:val="Default"/>
              <w:rPr>
                <w:sz w:val="15"/>
                <w:szCs w:val="15"/>
              </w:rPr>
            </w:pPr>
            <w:r>
              <w:rPr>
                <w:sz w:val="15"/>
                <w:szCs w:val="15"/>
              </w:rPr>
              <w:t xml:space="preserve">86 </w:t>
            </w:r>
          </w:p>
        </w:tc>
      </w:tr>
      <w:tr w:rsidR="002221D8" w:rsidTr="002221D8">
        <w:trPr>
          <w:trHeight w:val="69"/>
        </w:trPr>
        <w:tc>
          <w:tcPr>
            <w:tcW w:w="1101" w:type="dxa"/>
          </w:tcPr>
          <w:p w:rsidR="002221D8" w:rsidRDefault="002221D8">
            <w:pPr>
              <w:pStyle w:val="Default"/>
              <w:rPr>
                <w:sz w:val="15"/>
                <w:szCs w:val="15"/>
              </w:rPr>
            </w:pPr>
            <w:r>
              <w:rPr>
                <w:sz w:val="15"/>
                <w:szCs w:val="15"/>
              </w:rPr>
              <w:t xml:space="preserve">Posavski kanton </w:t>
            </w:r>
          </w:p>
        </w:tc>
        <w:tc>
          <w:tcPr>
            <w:tcW w:w="850" w:type="dxa"/>
          </w:tcPr>
          <w:p w:rsidR="002221D8" w:rsidRDefault="002221D8">
            <w:pPr>
              <w:pStyle w:val="Default"/>
              <w:rPr>
                <w:sz w:val="15"/>
                <w:szCs w:val="15"/>
              </w:rPr>
            </w:pPr>
            <w:r>
              <w:rPr>
                <w:sz w:val="15"/>
                <w:szCs w:val="15"/>
              </w:rPr>
              <w:t xml:space="preserve">1,996% </w:t>
            </w:r>
          </w:p>
        </w:tc>
        <w:tc>
          <w:tcPr>
            <w:tcW w:w="1134" w:type="dxa"/>
          </w:tcPr>
          <w:p w:rsidR="002221D8" w:rsidRDefault="002221D8">
            <w:pPr>
              <w:pStyle w:val="Default"/>
              <w:rPr>
                <w:sz w:val="15"/>
                <w:szCs w:val="15"/>
              </w:rPr>
            </w:pPr>
            <w:r>
              <w:rPr>
                <w:sz w:val="15"/>
                <w:szCs w:val="15"/>
              </w:rPr>
              <w:t xml:space="preserve">23.972.010 </w:t>
            </w:r>
          </w:p>
        </w:tc>
        <w:tc>
          <w:tcPr>
            <w:tcW w:w="992" w:type="dxa"/>
          </w:tcPr>
          <w:p w:rsidR="002221D8" w:rsidRDefault="002221D8">
            <w:pPr>
              <w:pStyle w:val="Default"/>
              <w:rPr>
                <w:sz w:val="15"/>
                <w:szCs w:val="15"/>
              </w:rPr>
            </w:pPr>
            <w:r>
              <w:rPr>
                <w:sz w:val="15"/>
                <w:szCs w:val="15"/>
              </w:rPr>
              <w:t xml:space="preserve">38.960 </w:t>
            </w:r>
          </w:p>
        </w:tc>
        <w:tc>
          <w:tcPr>
            <w:tcW w:w="709" w:type="dxa"/>
          </w:tcPr>
          <w:p w:rsidR="002221D8" w:rsidRDefault="002221D8">
            <w:pPr>
              <w:pStyle w:val="Default"/>
              <w:rPr>
                <w:sz w:val="15"/>
                <w:szCs w:val="15"/>
              </w:rPr>
            </w:pPr>
            <w:r>
              <w:rPr>
                <w:sz w:val="15"/>
                <w:szCs w:val="15"/>
              </w:rPr>
              <w:t xml:space="preserve">615 </w:t>
            </w:r>
          </w:p>
        </w:tc>
        <w:tc>
          <w:tcPr>
            <w:tcW w:w="851" w:type="dxa"/>
          </w:tcPr>
          <w:p w:rsidR="002221D8" w:rsidRDefault="002221D8">
            <w:pPr>
              <w:pStyle w:val="Default"/>
              <w:rPr>
                <w:sz w:val="15"/>
                <w:szCs w:val="15"/>
              </w:rPr>
            </w:pPr>
            <w:r>
              <w:rPr>
                <w:sz w:val="15"/>
                <w:szCs w:val="15"/>
              </w:rPr>
              <w:t xml:space="preserve">1,599% </w:t>
            </w:r>
          </w:p>
        </w:tc>
        <w:tc>
          <w:tcPr>
            <w:tcW w:w="1134" w:type="dxa"/>
          </w:tcPr>
          <w:p w:rsidR="002221D8" w:rsidRDefault="002221D8">
            <w:pPr>
              <w:pStyle w:val="Default"/>
              <w:rPr>
                <w:sz w:val="15"/>
                <w:szCs w:val="15"/>
              </w:rPr>
            </w:pPr>
            <w:r>
              <w:rPr>
                <w:sz w:val="15"/>
                <w:szCs w:val="15"/>
              </w:rPr>
              <w:t xml:space="preserve">19.207.350 </w:t>
            </w:r>
          </w:p>
        </w:tc>
        <w:tc>
          <w:tcPr>
            <w:tcW w:w="992" w:type="dxa"/>
          </w:tcPr>
          <w:p w:rsidR="002221D8" w:rsidRDefault="002221D8">
            <w:pPr>
              <w:pStyle w:val="Default"/>
              <w:rPr>
                <w:sz w:val="15"/>
                <w:szCs w:val="15"/>
              </w:rPr>
            </w:pPr>
            <w:r>
              <w:rPr>
                <w:sz w:val="15"/>
                <w:szCs w:val="15"/>
              </w:rPr>
              <w:t xml:space="preserve">38.960 </w:t>
            </w:r>
          </w:p>
        </w:tc>
        <w:tc>
          <w:tcPr>
            <w:tcW w:w="709" w:type="dxa"/>
          </w:tcPr>
          <w:p w:rsidR="002221D8" w:rsidRDefault="002221D8">
            <w:pPr>
              <w:pStyle w:val="Default"/>
              <w:rPr>
                <w:sz w:val="15"/>
                <w:szCs w:val="15"/>
              </w:rPr>
            </w:pPr>
            <w:r>
              <w:rPr>
                <w:sz w:val="15"/>
                <w:szCs w:val="15"/>
              </w:rPr>
              <w:t xml:space="preserve">493 </w:t>
            </w:r>
          </w:p>
        </w:tc>
        <w:tc>
          <w:tcPr>
            <w:tcW w:w="992" w:type="dxa"/>
          </w:tcPr>
          <w:p w:rsidR="002221D8" w:rsidRDefault="002221D8">
            <w:pPr>
              <w:pStyle w:val="Default"/>
              <w:rPr>
                <w:sz w:val="15"/>
                <w:szCs w:val="15"/>
              </w:rPr>
            </w:pPr>
            <w:r>
              <w:rPr>
                <w:sz w:val="15"/>
                <w:szCs w:val="15"/>
              </w:rPr>
              <w:t xml:space="preserve">-4.764.660 </w:t>
            </w:r>
          </w:p>
        </w:tc>
        <w:tc>
          <w:tcPr>
            <w:tcW w:w="628" w:type="dxa"/>
          </w:tcPr>
          <w:p w:rsidR="002221D8" w:rsidRDefault="002221D8">
            <w:pPr>
              <w:pStyle w:val="Default"/>
              <w:rPr>
                <w:sz w:val="15"/>
                <w:szCs w:val="15"/>
              </w:rPr>
            </w:pPr>
            <w:r>
              <w:rPr>
                <w:sz w:val="15"/>
                <w:szCs w:val="15"/>
              </w:rPr>
              <w:t xml:space="preserve">-122 </w:t>
            </w:r>
          </w:p>
        </w:tc>
      </w:tr>
      <w:tr w:rsidR="002221D8" w:rsidTr="002221D8">
        <w:trPr>
          <w:trHeight w:val="69"/>
        </w:trPr>
        <w:tc>
          <w:tcPr>
            <w:tcW w:w="1101" w:type="dxa"/>
          </w:tcPr>
          <w:p w:rsidR="002221D8" w:rsidRPr="007A27C4" w:rsidRDefault="002221D8">
            <w:pPr>
              <w:pStyle w:val="Default"/>
              <w:rPr>
                <w:sz w:val="15"/>
                <w:szCs w:val="15"/>
              </w:rPr>
            </w:pPr>
            <w:r w:rsidRPr="007A27C4">
              <w:rPr>
                <w:bCs/>
                <w:sz w:val="15"/>
                <w:szCs w:val="15"/>
              </w:rPr>
              <w:t xml:space="preserve">Tuzlanski kanton </w:t>
            </w:r>
          </w:p>
        </w:tc>
        <w:tc>
          <w:tcPr>
            <w:tcW w:w="850" w:type="dxa"/>
          </w:tcPr>
          <w:p w:rsidR="002221D8" w:rsidRPr="007A27C4" w:rsidRDefault="002221D8">
            <w:pPr>
              <w:pStyle w:val="Default"/>
              <w:rPr>
                <w:sz w:val="15"/>
                <w:szCs w:val="15"/>
              </w:rPr>
            </w:pPr>
            <w:r w:rsidRPr="007A27C4">
              <w:rPr>
                <w:bCs/>
                <w:sz w:val="15"/>
                <w:szCs w:val="15"/>
              </w:rPr>
              <w:t xml:space="preserve">16,914% </w:t>
            </w:r>
          </w:p>
        </w:tc>
        <w:tc>
          <w:tcPr>
            <w:tcW w:w="1134" w:type="dxa"/>
          </w:tcPr>
          <w:p w:rsidR="002221D8" w:rsidRPr="007A27C4" w:rsidRDefault="002221D8">
            <w:pPr>
              <w:pStyle w:val="Default"/>
              <w:rPr>
                <w:sz w:val="15"/>
                <w:szCs w:val="15"/>
              </w:rPr>
            </w:pPr>
            <w:r w:rsidRPr="007A27C4">
              <w:rPr>
                <w:bCs/>
                <w:sz w:val="15"/>
                <w:szCs w:val="15"/>
              </w:rPr>
              <w:t xml:space="preserve">203.182.229 </w:t>
            </w:r>
          </w:p>
        </w:tc>
        <w:tc>
          <w:tcPr>
            <w:tcW w:w="992" w:type="dxa"/>
          </w:tcPr>
          <w:p w:rsidR="002221D8" w:rsidRPr="007A27C4" w:rsidRDefault="002221D8">
            <w:pPr>
              <w:pStyle w:val="Default"/>
              <w:rPr>
                <w:sz w:val="15"/>
                <w:szCs w:val="15"/>
              </w:rPr>
            </w:pPr>
            <w:r w:rsidRPr="007A27C4">
              <w:rPr>
                <w:bCs/>
                <w:sz w:val="15"/>
                <w:szCs w:val="15"/>
              </w:rPr>
              <w:t xml:space="preserve">498.911 </w:t>
            </w:r>
          </w:p>
        </w:tc>
        <w:tc>
          <w:tcPr>
            <w:tcW w:w="709" w:type="dxa"/>
          </w:tcPr>
          <w:p w:rsidR="002221D8" w:rsidRPr="007A27C4" w:rsidRDefault="002221D8">
            <w:pPr>
              <w:pStyle w:val="Default"/>
              <w:rPr>
                <w:sz w:val="15"/>
                <w:szCs w:val="15"/>
              </w:rPr>
            </w:pPr>
            <w:r w:rsidRPr="007A27C4">
              <w:rPr>
                <w:bCs/>
                <w:sz w:val="15"/>
                <w:szCs w:val="15"/>
              </w:rPr>
              <w:t xml:space="preserve">407 </w:t>
            </w:r>
          </w:p>
        </w:tc>
        <w:tc>
          <w:tcPr>
            <w:tcW w:w="851" w:type="dxa"/>
          </w:tcPr>
          <w:p w:rsidR="002221D8" w:rsidRPr="007A27C4" w:rsidRDefault="002221D8">
            <w:pPr>
              <w:pStyle w:val="Default"/>
              <w:rPr>
                <w:sz w:val="15"/>
                <w:szCs w:val="15"/>
              </w:rPr>
            </w:pPr>
            <w:r w:rsidRPr="007A27C4">
              <w:rPr>
                <w:bCs/>
                <w:sz w:val="15"/>
                <w:szCs w:val="15"/>
              </w:rPr>
              <w:t xml:space="preserve">20,364% </w:t>
            </w:r>
          </w:p>
        </w:tc>
        <w:tc>
          <w:tcPr>
            <w:tcW w:w="1134" w:type="dxa"/>
          </w:tcPr>
          <w:p w:rsidR="002221D8" w:rsidRPr="007A27C4" w:rsidRDefault="002221D8">
            <w:pPr>
              <w:pStyle w:val="Default"/>
              <w:rPr>
                <w:sz w:val="15"/>
                <w:szCs w:val="15"/>
              </w:rPr>
            </w:pPr>
            <w:r w:rsidRPr="007A27C4">
              <w:rPr>
                <w:bCs/>
                <w:sz w:val="15"/>
                <w:szCs w:val="15"/>
              </w:rPr>
              <w:t xml:space="preserve">244.622.297 </w:t>
            </w:r>
          </w:p>
        </w:tc>
        <w:tc>
          <w:tcPr>
            <w:tcW w:w="992" w:type="dxa"/>
          </w:tcPr>
          <w:p w:rsidR="002221D8" w:rsidRPr="007A27C4" w:rsidRDefault="002221D8">
            <w:pPr>
              <w:pStyle w:val="Default"/>
              <w:rPr>
                <w:sz w:val="15"/>
                <w:szCs w:val="15"/>
              </w:rPr>
            </w:pPr>
            <w:r w:rsidRPr="007A27C4">
              <w:rPr>
                <w:bCs/>
                <w:sz w:val="15"/>
                <w:szCs w:val="15"/>
              </w:rPr>
              <w:t xml:space="preserve">498.911 </w:t>
            </w:r>
          </w:p>
        </w:tc>
        <w:tc>
          <w:tcPr>
            <w:tcW w:w="709" w:type="dxa"/>
          </w:tcPr>
          <w:p w:rsidR="002221D8" w:rsidRPr="007A27C4" w:rsidRDefault="002221D8">
            <w:pPr>
              <w:pStyle w:val="Default"/>
              <w:rPr>
                <w:sz w:val="15"/>
                <w:szCs w:val="15"/>
              </w:rPr>
            </w:pPr>
            <w:r w:rsidRPr="007A27C4">
              <w:rPr>
                <w:bCs/>
                <w:sz w:val="15"/>
                <w:szCs w:val="15"/>
              </w:rPr>
              <w:t xml:space="preserve">490 </w:t>
            </w:r>
          </w:p>
        </w:tc>
        <w:tc>
          <w:tcPr>
            <w:tcW w:w="992" w:type="dxa"/>
          </w:tcPr>
          <w:p w:rsidR="002221D8" w:rsidRPr="007A27C4" w:rsidRDefault="002221D8">
            <w:pPr>
              <w:pStyle w:val="Default"/>
              <w:rPr>
                <w:sz w:val="15"/>
                <w:szCs w:val="15"/>
              </w:rPr>
            </w:pPr>
            <w:r w:rsidRPr="007A27C4">
              <w:rPr>
                <w:bCs/>
                <w:sz w:val="15"/>
                <w:szCs w:val="15"/>
              </w:rPr>
              <w:t xml:space="preserve">41.440.068 </w:t>
            </w:r>
          </w:p>
        </w:tc>
        <w:tc>
          <w:tcPr>
            <w:tcW w:w="628" w:type="dxa"/>
          </w:tcPr>
          <w:p w:rsidR="002221D8" w:rsidRPr="007A27C4" w:rsidRDefault="002221D8">
            <w:pPr>
              <w:pStyle w:val="Default"/>
              <w:rPr>
                <w:sz w:val="15"/>
                <w:szCs w:val="15"/>
              </w:rPr>
            </w:pPr>
            <w:r w:rsidRPr="007A27C4">
              <w:rPr>
                <w:bCs/>
                <w:sz w:val="15"/>
                <w:szCs w:val="15"/>
              </w:rPr>
              <w:t xml:space="preserve">83 </w:t>
            </w:r>
          </w:p>
        </w:tc>
      </w:tr>
      <w:tr w:rsidR="002221D8" w:rsidTr="002221D8">
        <w:trPr>
          <w:trHeight w:val="154"/>
        </w:trPr>
        <w:tc>
          <w:tcPr>
            <w:tcW w:w="1101" w:type="dxa"/>
          </w:tcPr>
          <w:p w:rsidR="002221D8" w:rsidRDefault="002221D8">
            <w:pPr>
              <w:pStyle w:val="Default"/>
              <w:rPr>
                <w:sz w:val="15"/>
                <w:szCs w:val="15"/>
              </w:rPr>
            </w:pPr>
            <w:r>
              <w:rPr>
                <w:sz w:val="15"/>
                <w:szCs w:val="15"/>
              </w:rPr>
              <w:t xml:space="preserve">Zeničko-dobojski kanton </w:t>
            </w:r>
          </w:p>
        </w:tc>
        <w:tc>
          <w:tcPr>
            <w:tcW w:w="850" w:type="dxa"/>
          </w:tcPr>
          <w:p w:rsidR="002221D8" w:rsidRDefault="002221D8">
            <w:pPr>
              <w:pStyle w:val="Default"/>
              <w:rPr>
                <w:sz w:val="15"/>
                <w:szCs w:val="15"/>
              </w:rPr>
            </w:pPr>
            <w:r>
              <w:rPr>
                <w:sz w:val="15"/>
                <w:szCs w:val="15"/>
              </w:rPr>
              <w:t xml:space="preserve">14,093% </w:t>
            </w:r>
          </w:p>
        </w:tc>
        <w:tc>
          <w:tcPr>
            <w:tcW w:w="1134" w:type="dxa"/>
          </w:tcPr>
          <w:p w:rsidR="002221D8" w:rsidRDefault="002221D8">
            <w:pPr>
              <w:pStyle w:val="Default"/>
              <w:rPr>
                <w:sz w:val="15"/>
                <w:szCs w:val="15"/>
              </w:rPr>
            </w:pPr>
            <w:r>
              <w:rPr>
                <w:sz w:val="15"/>
                <w:szCs w:val="15"/>
              </w:rPr>
              <w:t xml:space="preserve">169.291.806 </w:t>
            </w:r>
          </w:p>
        </w:tc>
        <w:tc>
          <w:tcPr>
            <w:tcW w:w="992" w:type="dxa"/>
          </w:tcPr>
          <w:p w:rsidR="002221D8" w:rsidRDefault="002221D8">
            <w:pPr>
              <w:pStyle w:val="Default"/>
              <w:rPr>
                <w:sz w:val="15"/>
                <w:szCs w:val="15"/>
              </w:rPr>
            </w:pPr>
            <w:r>
              <w:rPr>
                <w:sz w:val="15"/>
                <w:szCs w:val="15"/>
              </w:rPr>
              <w:t xml:space="preserve">398.655 </w:t>
            </w:r>
          </w:p>
        </w:tc>
        <w:tc>
          <w:tcPr>
            <w:tcW w:w="709" w:type="dxa"/>
          </w:tcPr>
          <w:p w:rsidR="002221D8" w:rsidRDefault="002221D8">
            <w:pPr>
              <w:pStyle w:val="Default"/>
              <w:rPr>
                <w:sz w:val="15"/>
                <w:szCs w:val="15"/>
              </w:rPr>
            </w:pPr>
            <w:r>
              <w:rPr>
                <w:sz w:val="15"/>
                <w:szCs w:val="15"/>
              </w:rPr>
              <w:t xml:space="preserve">425 </w:t>
            </w:r>
          </w:p>
        </w:tc>
        <w:tc>
          <w:tcPr>
            <w:tcW w:w="851" w:type="dxa"/>
          </w:tcPr>
          <w:p w:rsidR="002221D8" w:rsidRDefault="002221D8">
            <w:pPr>
              <w:pStyle w:val="Default"/>
              <w:rPr>
                <w:sz w:val="15"/>
                <w:szCs w:val="15"/>
              </w:rPr>
            </w:pPr>
            <w:r>
              <w:rPr>
                <w:sz w:val="15"/>
                <w:szCs w:val="15"/>
              </w:rPr>
              <w:t xml:space="preserve">16,937% </w:t>
            </w:r>
          </w:p>
        </w:tc>
        <w:tc>
          <w:tcPr>
            <w:tcW w:w="1134" w:type="dxa"/>
          </w:tcPr>
          <w:p w:rsidR="002221D8" w:rsidRDefault="002221D8">
            <w:pPr>
              <w:pStyle w:val="Default"/>
              <w:rPr>
                <w:sz w:val="15"/>
                <w:szCs w:val="15"/>
              </w:rPr>
            </w:pPr>
            <w:r>
              <w:rPr>
                <w:sz w:val="15"/>
                <w:szCs w:val="15"/>
              </w:rPr>
              <w:t xml:space="preserve">203.457.676 </w:t>
            </w:r>
          </w:p>
        </w:tc>
        <w:tc>
          <w:tcPr>
            <w:tcW w:w="992" w:type="dxa"/>
          </w:tcPr>
          <w:p w:rsidR="002221D8" w:rsidRDefault="002221D8">
            <w:pPr>
              <w:pStyle w:val="Default"/>
              <w:rPr>
                <w:sz w:val="15"/>
                <w:szCs w:val="15"/>
              </w:rPr>
            </w:pPr>
            <w:r>
              <w:rPr>
                <w:sz w:val="15"/>
                <w:szCs w:val="15"/>
              </w:rPr>
              <w:t xml:space="preserve">398.655 </w:t>
            </w:r>
          </w:p>
        </w:tc>
        <w:tc>
          <w:tcPr>
            <w:tcW w:w="709" w:type="dxa"/>
          </w:tcPr>
          <w:p w:rsidR="002221D8" w:rsidRDefault="002221D8">
            <w:pPr>
              <w:pStyle w:val="Default"/>
              <w:rPr>
                <w:sz w:val="15"/>
                <w:szCs w:val="15"/>
              </w:rPr>
            </w:pPr>
            <w:r>
              <w:rPr>
                <w:sz w:val="15"/>
                <w:szCs w:val="15"/>
              </w:rPr>
              <w:t xml:space="preserve">510 </w:t>
            </w:r>
          </w:p>
        </w:tc>
        <w:tc>
          <w:tcPr>
            <w:tcW w:w="992" w:type="dxa"/>
          </w:tcPr>
          <w:p w:rsidR="002221D8" w:rsidRDefault="002221D8">
            <w:pPr>
              <w:pStyle w:val="Default"/>
              <w:rPr>
                <w:sz w:val="15"/>
                <w:szCs w:val="15"/>
              </w:rPr>
            </w:pPr>
            <w:r>
              <w:rPr>
                <w:sz w:val="15"/>
                <w:szCs w:val="15"/>
              </w:rPr>
              <w:t xml:space="preserve">34.165.870 </w:t>
            </w:r>
          </w:p>
        </w:tc>
        <w:tc>
          <w:tcPr>
            <w:tcW w:w="628" w:type="dxa"/>
          </w:tcPr>
          <w:p w:rsidR="002221D8" w:rsidRDefault="002221D8">
            <w:pPr>
              <w:pStyle w:val="Default"/>
              <w:rPr>
                <w:sz w:val="15"/>
                <w:szCs w:val="15"/>
              </w:rPr>
            </w:pPr>
            <w:r>
              <w:rPr>
                <w:sz w:val="15"/>
                <w:szCs w:val="15"/>
              </w:rPr>
              <w:t xml:space="preserve">85 </w:t>
            </w:r>
          </w:p>
        </w:tc>
      </w:tr>
      <w:tr w:rsidR="002221D8" w:rsidTr="002221D8">
        <w:trPr>
          <w:trHeight w:val="154"/>
        </w:trPr>
        <w:tc>
          <w:tcPr>
            <w:tcW w:w="1101" w:type="dxa"/>
          </w:tcPr>
          <w:p w:rsidR="002221D8" w:rsidRDefault="002221D8">
            <w:pPr>
              <w:pStyle w:val="Default"/>
              <w:rPr>
                <w:sz w:val="15"/>
                <w:szCs w:val="15"/>
              </w:rPr>
            </w:pPr>
            <w:r>
              <w:rPr>
                <w:sz w:val="15"/>
                <w:szCs w:val="15"/>
              </w:rPr>
              <w:t xml:space="preserve">Bosansko-podrinjski kanton </w:t>
            </w:r>
          </w:p>
        </w:tc>
        <w:tc>
          <w:tcPr>
            <w:tcW w:w="850" w:type="dxa"/>
          </w:tcPr>
          <w:p w:rsidR="002221D8" w:rsidRDefault="002221D8">
            <w:pPr>
              <w:pStyle w:val="Default"/>
              <w:rPr>
                <w:sz w:val="15"/>
                <w:szCs w:val="15"/>
              </w:rPr>
            </w:pPr>
            <w:r>
              <w:rPr>
                <w:sz w:val="15"/>
                <w:szCs w:val="15"/>
              </w:rPr>
              <w:t xml:space="preserve">1,967% </w:t>
            </w:r>
          </w:p>
        </w:tc>
        <w:tc>
          <w:tcPr>
            <w:tcW w:w="1134" w:type="dxa"/>
          </w:tcPr>
          <w:p w:rsidR="002221D8" w:rsidRDefault="002221D8">
            <w:pPr>
              <w:pStyle w:val="Default"/>
              <w:rPr>
                <w:sz w:val="15"/>
                <w:szCs w:val="15"/>
              </w:rPr>
            </w:pPr>
            <w:r>
              <w:rPr>
                <w:sz w:val="15"/>
                <w:szCs w:val="15"/>
              </w:rPr>
              <w:t xml:space="preserve">23.628.605 </w:t>
            </w:r>
          </w:p>
        </w:tc>
        <w:tc>
          <w:tcPr>
            <w:tcW w:w="992" w:type="dxa"/>
          </w:tcPr>
          <w:p w:rsidR="002221D8" w:rsidRDefault="002221D8">
            <w:pPr>
              <w:pStyle w:val="Default"/>
              <w:rPr>
                <w:sz w:val="15"/>
                <w:szCs w:val="15"/>
              </w:rPr>
            </w:pPr>
            <w:r>
              <w:rPr>
                <w:sz w:val="15"/>
                <w:szCs w:val="15"/>
              </w:rPr>
              <w:t xml:space="preserve">32.428 </w:t>
            </w:r>
          </w:p>
        </w:tc>
        <w:tc>
          <w:tcPr>
            <w:tcW w:w="709" w:type="dxa"/>
          </w:tcPr>
          <w:p w:rsidR="002221D8" w:rsidRDefault="002221D8">
            <w:pPr>
              <w:pStyle w:val="Default"/>
              <w:rPr>
                <w:sz w:val="15"/>
                <w:szCs w:val="15"/>
              </w:rPr>
            </w:pPr>
            <w:r>
              <w:rPr>
                <w:sz w:val="15"/>
                <w:szCs w:val="15"/>
              </w:rPr>
              <w:t xml:space="preserve">729 </w:t>
            </w:r>
          </w:p>
        </w:tc>
        <w:tc>
          <w:tcPr>
            <w:tcW w:w="851" w:type="dxa"/>
          </w:tcPr>
          <w:p w:rsidR="002221D8" w:rsidRDefault="002221D8">
            <w:pPr>
              <w:pStyle w:val="Default"/>
              <w:rPr>
                <w:sz w:val="15"/>
                <w:szCs w:val="15"/>
              </w:rPr>
            </w:pPr>
            <w:r>
              <w:rPr>
                <w:sz w:val="15"/>
                <w:szCs w:val="15"/>
              </w:rPr>
              <w:t xml:space="preserve">1,308% </w:t>
            </w:r>
          </w:p>
        </w:tc>
        <w:tc>
          <w:tcPr>
            <w:tcW w:w="1134" w:type="dxa"/>
          </w:tcPr>
          <w:p w:rsidR="002221D8" w:rsidRDefault="002221D8">
            <w:pPr>
              <w:pStyle w:val="Default"/>
              <w:rPr>
                <w:sz w:val="15"/>
                <w:szCs w:val="15"/>
              </w:rPr>
            </w:pPr>
            <w:r>
              <w:rPr>
                <w:sz w:val="15"/>
                <w:szCs w:val="15"/>
              </w:rPr>
              <w:t xml:space="preserve">15.710.427 </w:t>
            </w:r>
          </w:p>
        </w:tc>
        <w:tc>
          <w:tcPr>
            <w:tcW w:w="992" w:type="dxa"/>
          </w:tcPr>
          <w:p w:rsidR="002221D8" w:rsidRDefault="002221D8">
            <w:pPr>
              <w:pStyle w:val="Default"/>
              <w:rPr>
                <w:sz w:val="15"/>
                <w:szCs w:val="15"/>
              </w:rPr>
            </w:pPr>
            <w:r>
              <w:rPr>
                <w:sz w:val="15"/>
                <w:szCs w:val="15"/>
              </w:rPr>
              <w:t xml:space="preserve">32.428 </w:t>
            </w:r>
          </w:p>
        </w:tc>
        <w:tc>
          <w:tcPr>
            <w:tcW w:w="709" w:type="dxa"/>
          </w:tcPr>
          <w:p w:rsidR="002221D8" w:rsidRDefault="002221D8">
            <w:pPr>
              <w:pStyle w:val="Default"/>
              <w:rPr>
                <w:sz w:val="15"/>
                <w:szCs w:val="15"/>
              </w:rPr>
            </w:pPr>
            <w:r>
              <w:rPr>
                <w:sz w:val="15"/>
                <w:szCs w:val="15"/>
              </w:rPr>
              <w:t xml:space="preserve">484 </w:t>
            </w:r>
          </w:p>
        </w:tc>
        <w:tc>
          <w:tcPr>
            <w:tcW w:w="992" w:type="dxa"/>
          </w:tcPr>
          <w:p w:rsidR="002221D8" w:rsidRDefault="002221D8">
            <w:pPr>
              <w:pStyle w:val="Default"/>
              <w:rPr>
                <w:sz w:val="15"/>
                <w:szCs w:val="15"/>
              </w:rPr>
            </w:pPr>
            <w:r>
              <w:rPr>
                <w:sz w:val="15"/>
                <w:szCs w:val="15"/>
              </w:rPr>
              <w:t xml:space="preserve">-7.918.178 </w:t>
            </w:r>
          </w:p>
        </w:tc>
        <w:tc>
          <w:tcPr>
            <w:tcW w:w="628" w:type="dxa"/>
          </w:tcPr>
          <w:p w:rsidR="002221D8" w:rsidRDefault="002221D8">
            <w:pPr>
              <w:pStyle w:val="Default"/>
              <w:rPr>
                <w:sz w:val="15"/>
                <w:szCs w:val="15"/>
              </w:rPr>
            </w:pPr>
            <w:r>
              <w:rPr>
                <w:sz w:val="15"/>
                <w:szCs w:val="15"/>
              </w:rPr>
              <w:t xml:space="preserve">-245 </w:t>
            </w:r>
          </w:p>
        </w:tc>
      </w:tr>
      <w:tr w:rsidR="002221D8" w:rsidTr="002221D8">
        <w:trPr>
          <w:trHeight w:val="153"/>
        </w:trPr>
        <w:tc>
          <w:tcPr>
            <w:tcW w:w="1101" w:type="dxa"/>
          </w:tcPr>
          <w:p w:rsidR="002221D8" w:rsidRDefault="002221D8">
            <w:pPr>
              <w:pStyle w:val="Default"/>
              <w:rPr>
                <w:sz w:val="15"/>
                <w:szCs w:val="15"/>
              </w:rPr>
            </w:pPr>
            <w:r>
              <w:rPr>
                <w:sz w:val="15"/>
                <w:szCs w:val="15"/>
              </w:rPr>
              <w:t xml:space="preserve">Srednjobosanski kanton </w:t>
            </w:r>
          </w:p>
        </w:tc>
        <w:tc>
          <w:tcPr>
            <w:tcW w:w="850" w:type="dxa"/>
          </w:tcPr>
          <w:p w:rsidR="002221D8" w:rsidRDefault="002221D8">
            <w:pPr>
              <w:pStyle w:val="Default"/>
              <w:rPr>
                <w:sz w:val="15"/>
                <w:szCs w:val="15"/>
              </w:rPr>
            </w:pPr>
            <w:r>
              <w:rPr>
                <w:sz w:val="15"/>
                <w:szCs w:val="15"/>
              </w:rPr>
              <w:t xml:space="preserve">9,513% </w:t>
            </w:r>
          </w:p>
        </w:tc>
        <w:tc>
          <w:tcPr>
            <w:tcW w:w="1134" w:type="dxa"/>
          </w:tcPr>
          <w:p w:rsidR="002221D8" w:rsidRDefault="002221D8">
            <w:pPr>
              <w:pStyle w:val="Default"/>
              <w:rPr>
                <w:sz w:val="15"/>
                <w:szCs w:val="15"/>
              </w:rPr>
            </w:pPr>
            <w:r>
              <w:rPr>
                <w:sz w:val="15"/>
                <w:szCs w:val="15"/>
              </w:rPr>
              <w:t xml:space="preserve">114.271.699 </w:t>
            </w:r>
          </w:p>
        </w:tc>
        <w:tc>
          <w:tcPr>
            <w:tcW w:w="992" w:type="dxa"/>
          </w:tcPr>
          <w:p w:rsidR="002221D8" w:rsidRDefault="002221D8">
            <w:pPr>
              <w:pStyle w:val="Default"/>
              <w:rPr>
                <w:sz w:val="15"/>
                <w:szCs w:val="15"/>
              </w:rPr>
            </w:pPr>
            <w:r>
              <w:rPr>
                <w:sz w:val="15"/>
                <w:szCs w:val="15"/>
              </w:rPr>
              <w:t xml:space="preserve">253.149 </w:t>
            </w:r>
          </w:p>
        </w:tc>
        <w:tc>
          <w:tcPr>
            <w:tcW w:w="709" w:type="dxa"/>
          </w:tcPr>
          <w:p w:rsidR="002221D8" w:rsidRDefault="002221D8">
            <w:pPr>
              <w:pStyle w:val="Default"/>
              <w:rPr>
                <w:sz w:val="15"/>
                <w:szCs w:val="15"/>
              </w:rPr>
            </w:pPr>
            <w:r>
              <w:rPr>
                <w:sz w:val="15"/>
                <w:szCs w:val="15"/>
              </w:rPr>
              <w:t xml:space="preserve">451 </w:t>
            </w:r>
          </w:p>
        </w:tc>
        <w:tc>
          <w:tcPr>
            <w:tcW w:w="851" w:type="dxa"/>
          </w:tcPr>
          <w:p w:rsidR="002221D8" w:rsidRDefault="002221D8">
            <w:pPr>
              <w:pStyle w:val="Default"/>
              <w:rPr>
                <w:sz w:val="15"/>
                <w:szCs w:val="15"/>
              </w:rPr>
            </w:pPr>
            <w:r>
              <w:rPr>
                <w:sz w:val="15"/>
                <w:szCs w:val="15"/>
              </w:rPr>
              <w:t xml:space="preserve">11,407% </w:t>
            </w:r>
          </w:p>
        </w:tc>
        <w:tc>
          <w:tcPr>
            <w:tcW w:w="1134" w:type="dxa"/>
          </w:tcPr>
          <w:p w:rsidR="002221D8" w:rsidRDefault="002221D8">
            <w:pPr>
              <w:pStyle w:val="Default"/>
              <w:rPr>
                <w:sz w:val="15"/>
                <w:szCs w:val="15"/>
              </w:rPr>
            </w:pPr>
            <w:r>
              <w:rPr>
                <w:sz w:val="15"/>
                <w:szCs w:val="15"/>
              </w:rPr>
              <w:t xml:space="preserve">137.023.150 </w:t>
            </w:r>
          </w:p>
        </w:tc>
        <w:tc>
          <w:tcPr>
            <w:tcW w:w="992" w:type="dxa"/>
          </w:tcPr>
          <w:p w:rsidR="002221D8" w:rsidRDefault="002221D8">
            <w:pPr>
              <w:pStyle w:val="Default"/>
              <w:rPr>
                <w:sz w:val="15"/>
                <w:szCs w:val="15"/>
              </w:rPr>
            </w:pPr>
            <w:r>
              <w:rPr>
                <w:sz w:val="15"/>
                <w:szCs w:val="15"/>
              </w:rPr>
              <w:t xml:space="preserve">253.149 </w:t>
            </w:r>
          </w:p>
        </w:tc>
        <w:tc>
          <w:tcPr>
            <w:tcW w:w="709" w:type="dxa"/>
          </w:tcPr>
          <w:p w:rsidR="002221D8" w:rsidRDefault="002221D8">
            <w:pPr>
              <w:pStyle w:val="Default"/>
              <w:rPr>
                <w:sz w:val="15"/>
                <w:szCs w:val="15"/>
              </w:rPr>
            </w:pPr>
            <w:r>
              <w:rPr>
                <w:sz w:val="15"/>
                <w:szCs w:val="15"/>
              </w:rPr>
              <w:t xml:space="preserve">541 </w:t>
            </w:r>
          </w:p>
        </w:tc>
        <w:tc>
          <w:tcPr>
            <w:tcW w:w="992" w:type="dxa"/>
          </w:tcPr>
          <w:p w:rsidR="002221D8" w:rsidRDefault="002221D8">
            <w:pPr>
              <w:pStyle w:val="Default"/>
              <w:rPr>
                <w:sz w:val="15"/>
                <w:szCs w:val="15"/>
              </w:rPr>
            </w:pPr>
            <w:r>
              <w:rPr>
                <w:sz w:val="15"/>
                <w:szCs w:val="15"/>
              </w:rPr>
              <w:t xml:space="preserve">22.751.451 </w:t>
            </w:r>
          </w:p>
        </w:tc>
        <w:tc>
          <w:tcPr>
            <w:tcW w:w="628" w:type="dxa"/>
          </w:tcPr>
          <w:p w:rsidR="002221D8" w:rsidRDefault="002221D8">
            <w:pPr>
              <w:pStyle w:val="Default"/>
              <w:rPr>
                <w:sz w:val="15"/>
                <w:szCs w:val="15"/>
              </w:rPr>
            </w:pPr>
            <w:r>
              <w:rPr>
                <w:sz w:val="15"/>
                <w:szCs w:val="15"/>
              </w:rPr>
              <w:t xml:space="preserve">90 </w:t>
            </w:r>
          </w:p>
        </w:tc>
      </w:tr>
      <w:tr w:rsidR="002221D8" w:rsidTr="002221D8">
        <w:trPr>
          <w:trHeight w:val="153"/>
        </w:trPr>
        <w:tc>
          <w:tcPr>
            <w:tcW w:w="1101" w:type="dxa"/>
          </w:tcPr>
          <w:p w:rsidR="002221D8" w:rsidRDefault="002221D8">
            <w:pPr>
              <w:pStyle w:val="Default"/>
              <w:rPr>
                <w:sz w:val="15"/>
                <w:szCs w:val="15"/>
              </w:rPr>
            </w:pPr>
            <w:r>
              <w:rPr>
                <w:sz w:val="15"/>
                <w:szCs w:val="15"/>
              </w:rPr>
              <w:t xml:space="preserve">Hercegovačko-neretvanski kanton </w:t>
            </w:r>
          </w:p>
        </w:tc>
        <w:tc>
          <w:tcPr>
            <w:tcW w:w="850" w:type="dxa"/>
          </w:tcPr>
          <w:p w:rsidR="002221D8" w:rsidRDefault="002221D8">
            <w:pPr>
              <w:pStyle w:val="Default"/>
              <w:rPr>
                <w:sz w:val="15"/>
                <w:szCs w:val="15"/>
              </w:rPr>
            </w:pPr>
            <w:r>
              <w:rPr>
                <w:sz w:val="15"/>
                <w:szCs w:val="15"/>
              </w:rPr>
              <w:t xml:space="preserve">8,420% </w:t>
            </w:r>
          </w:p>
        </w:tc>
        <w:tc>
          <w:tcPr>
            <w:tcW w:w="1134" w:type="dxa"/>
          </w:tcPr>
          <w:p w:rsidR="002221D8" w:rsidRDefault="002221D8">
            <w:pPr>
              <w:pStyle w:val="Default"/>
              <w:rPr>
                <w:sz w:val="15"/>
                <w:szCs w:val="15"/>
              </w:rPr>
            </w:pPr>
            <w:r>
              <w:rPr>
                <w:sz w:val="15"/>
                <w:szCs w:val="15"/>
              </w:rPr>
              <w:t xml:space="preserve">101.151.921 </w:t>
            </w:r>
          </w:p>
        </w:tc>
        <w:tc>
          <w:tcPr>
            <w:tcW w:w="992" w:type="dxa"/>
          </w:tcPr>
          <w:p w:rsidR="002221D8" w:rsidRDefault="002221D8">
            <w:pPr>
              <w:pStyle w:val="Default"/>
              <w:rPr>
                <w:sz w:val="15"/>
                <w:szCs w:val="15"/>
              </w:rPr>
            </w:pPr>
            <w:r>
              <w:rPr>
                <w:sz w:val="15"/>
                <w:szCs w:val="15"/>
              </w:rPr>
              <w:t xml:space="preserve">224.388 </w:t>
            </w:r>
          </w:p>
        </w:tc>
        <w:tc>
          <w:tcPr>
            <w:tcW w:w="709" w:type="dxa"/>
          </w:tcPr>
          <w:p w:rsidR="002221D8" w:rsidRDefault="002221D8">
            <w:pPr>
              <w:pStyle w:val="Default"/>
              <w:rPr>
                <w:sz w:val="15"/>
                <w:szCs w:val="15"/>
              </w:rPr>
            </w:pPr>
            <w:r>
              <w:rPr>
                <w:sz w:val="15"/>
                <w:szCs w:val="15"/>
              </w:rPr>
              <w:t xml:space="preserve">451 </w:t>
            </w:r>
          </w:p>
        </w:tc>
        <w:tc>
          <w:tcPr>
            <w:tcW w:w="851" w:type="dxa"/>
          </w:tcPr>
          <w:p w:rsidR="002221D8" w:rsidRDefault="002221D8">
            <w:pPr>
              <w:pStyle w:val="Default"/>
              <w:rPr>
                <w:sz w:val="15"/>
                <w:szCs w:val="15"/>
              </w:rPr>
            </w:pPr>
            <w:r>
              <w:rPr>
                <w:sz w:val="15"/>
                <w:szCs w:val="15"/>
              </w:rPr>
              <w:t xml:space="preserve">10,060% </w:t>
            </w:r>
          </w:p>
        </w:tc>
        <w:tc>
          <w:tcPr>
            <w:tcW w:w="1134" w:type="dxa"/>
          </w:tcPr>
          <w:p w:rsidR="002221D8" w:rsidRDefault="002221D8">
            <w:pPr>
              <w:pStyle w:val="Default"/>
              <w:rPr>
                <w:sz w:val="15"/>
                <w:szCs w:val="15"/>
              </w:rPr>
            </w:pPr>
            <w:r>
              <w:rPr>
                <w:sz w:val="15"/>
                <w:szCs w:val="15"/>
              </w:rPr>
              <w:t xml:space="preserve">120.844.053 </w:t>
            </w:r>
          </w:p>
        </w:tc>
        <w:tc>
          <w:tcPr>
            <w:tcW w:w="992" w:type="dxa"/>
          </w:tcPr>
          <w:p w:rsidR="002221D8" w:rsidRDefault="002221D8">
            <w:pPr>
              <w:pStyle w:val="Default"/>
              <w:rPr>
                <w:sz w:val="15"/>
                <w:szCs w:val="15"/>
              </w:rPr>
            </w:pPr>
            <w:r>
              <w:rPr>
                <w:sz w:val="15"/>
                <w:szCs w:val="15"/>
              </w:rPr>
              <w:t xml:space="preserve">224.388 </w:t>
            </w:r>
          </w:p>
        </w:tc>
        <w:tc>
          <w:tcPr>
            <w:tcW w:w="709" w:type="dxa"/>
          </w:tcPr>
          <w:p w:rsidR="002221D8" w:rsidRDefault="002221D8">
            <w:pPr>
              <w:pStyle w:val="Default"/>
              <w:rPr>
                <w:sz w:val="15"/>
                <w:szCs w:val="15"/>
              </w:rPr>
            </w:pPr>
            <w:r>
              <w:rPr>
                <w:sz w:val="15"/>
                <w:szCs w:val="15"/>
              </w:rPr>
              <w:t xml:space="preserve">539 </w:t>
            </w:r>
          </w:p>
        </w:tc>
        <w:tc>
          <w:tcPr>
            <w:tcW w:w="992" w:type="dxa"/>
          </w:tcPr>
          <w:p w:rsidR="002221D8" w:rsidRDefault="002221D8">
            <w:pPr>
              <w:pStyle w:val="Default"/>
              <w:rPr>
                <w:sz w:val="15"/>
                <w:szCs w:val="15"/>
              </w:rPr>
            </w:pPr>
            <w:r>
              <w:rPr>
                <w:sz w:val="15"/>
                <w:szCs w:val="15"/>
              </w:rPr>
              <w:t xml:space="preserve">19.692.132 </w:t>
            </w:r>
          </w:p>
        </w:tc>
        <w:tc>
          <w:tcPr>
            <w:tcW w:w="628" w:type="dxa"/>
          </w:tcPr>
          <w:p w:rsidR="002221D8" w:rsidRDefault="002221D8">
            <w:pPr>
              <w:pStyle w:val="Default"/>
              <w:rPr>
                <w:sz w:val="15"/>
                <w:szCs w:val="15"/>
              </w:rPr>
            </w:pPr>
            <w:r>
              <w:rPr>
                <w:sz w:val="15"/>
                <w:szCs w:val="15"/>
              </w:rPr>
              <w:t xml:space="preserve">88 </w:t>
            </w:r>
          </w:p>
        </w:tc>
      </w:tr>
      <w:tr w:rsidR="002221D8" w:rsidTr="002221D8">
        <w:trPr>
          <w:trHeight w:val="153"/>
        </w:trPr>
        <w:tc>
          <w:tcPr>
            <w:tcW w:w="1101" w:type="dxa"/>
          </w:tcPr>
          <w:p w:rsidR="002221D8" w:rsidRDefault="002221D8">
            <w:pPr>
              <w:pStyle w:val="Default"/>
              <w:rPr>
                <w:sz w:val="15"/>
                <w:szCs w:val="15"/>
              </w:rPr>
            </w:pPr>
            <w:r>
              <w:rPr>
                <w:sz w:val="15"/>
                <w:szCs w:val="15"/>
              </w:rPr>
              <w:t xml:space="preserve">Zapadnohercego-vački kanton </w:t>
            </w:r>
          </w:p>
        </w:tc>
        <w:tc>
          <w:tcPr>
            <w:tcW w:w="850" w:type="dxa"/>
          </w:tcPr>
          <w:p w:rsidR="002221D8" w:rsidRDefault="002221D8">
            <w:pPr>
              <w:pStyle w:val="Default"/>
              <w:rPr>
                <w:sz w:val="15"/>
                <w:szCs w:val="15"/>
              </w:rPr>
            </w:pPr>
            <w:r>
              <w:rPr>
                <w:sz w:val="15"/>
                <w:szCs w:val="15"/>
              </w:rPr>
              <w:t xml:space="preserve">3,267% </w:t>
            </w:r>
          </w:p>
        </w:tc>
        <w:tc>
          <w:tcPr>
            <w:tcW w:w="1134" w:type="dxa"/>
          </w:tcPr>
          <w:p w:rsidR="002221D8" w:rsidRDefault="002221D8">
            <w:pPr>
              <w:pStyle w:val="Default"/>
              <w:rPr>
                <w:sz w:val="15"/>
                <w:szCs w:val="15"/>
              </w:rPr>
            </w:pPr>
            <w:r>
              <w:rPr>
                <w:sz w:val="15"/>
                <w:szCs w:val="15"/>
              </w:rPr>
              <w:t xml:space="preserve">39.243.189 </w:t>
            </w:r>
          </w:p>
        </w:tc>
        <w:tc>
          <w:tcPr>
            <w:tcW w:w="992" w:type="dxa"/>
          </w:tcPr>
          <w:p w:rsidR="002221D8" w:rsidRDefault="002221D8">
            <w:pPr>
              <w:pStyle w:val="Default"/>
              <w:rPr>
                <w:sz w:val="15"/>
                <w:szCs w:val="15"/>
              </w:rPr>
            </w:pPr>
            <w:r>
              <w:rPr>
                <w:sz w:val="15"/>
                <w:szCs w:val="15"/>
              </w:rPr>
              <w:t xml:space="preserve">81.570 </w:t>
            </w:r>
          </w:p>
        </w:tc>
        <w:tc>
          <w:tcPr>
            <w:tcW w:w="709" w:type="dxa"/>
          </w:tcPr>
          <w:p w:rsidR="002221D8" w:rsidRDefault="002221D8">
            <w:pPr>
              <w:pStyle w:val="Default"/>
              <w:rPr>
                <w:sz w:val="15"/>
                <w:szCs w:val="15"/>
              </w:rPr>
            </w:pPr>
            <w:r>
              <w:rPr>
                <w:sz w:val="15"/>
                <w:szCs w:val="15"/>
              </w:rPr>
              <w:t xml:space="preserve">481 </w:t>
            </w:r>
          </w:p>
        </w:tc>
        <w:tc>
          <w:tcPr>
            <w:tcW w:w="851" w:type="dxa"/>
          </w:tcPr>
          <w:p w:rsidR="002221D8" w:rsidRDefault="002221D8">
            <w:pPr>
              <w:pStyle w:val="Default"/>
              <w:rPr>
                <w:sz w:val="15"/>
                <w:szCs w:val="15"/>
              </w:rPr>
            </w:pPr>
            <w:r>
              <w:rPr>
                <w:sz w:val="15"/>
                <w:szCs w:val="15"/>
              </w:rPr>
              <w:t xml:space="preserve">3,910% </w:t>
            </w:r>
          </w:p>
        </w:tc>
        <w:tc>
          <w:tcPr>
            <w:tcW w:w="1134" w:type="dxa"/>
          </w:tcPr>
          <w:p w:rsidR="002221D8" w:rsidRDefault="002221D8">
            <w:pPr>
              <w:pStyle w:val="Default"/>
              <w:rPr>
                <w:sz w:val="15"/>
                <w:szCs w:val="15"/>
              </w:rPr>
            </w:pPr>
            <w:r>
              <w:rPr>
                <w:sz w:val="15"/>
                <w:szCs w:val="15"/>
              </w:rPr>
              <w:t xml:space="preserve">46.967.736 </w:t>
            </w:r>
          </w:p>
        </w:tc>
        <w:tc>
          <w:tcPr>
            <w:tcW w:w="992" w:type="dxa"/>
          </w:tcPr>
          <w:p w:rsidR="002221D8" w:rsidRDefault="002221D8">
            <w:pPr>
              <w:pStyle w:val="Default"/>
              <w:rPr>
                <w:sz w:val="15"/>
                <w:szCs w:val="15"/>
              </w:rPr>
            </w:pPr>
            <w:r>
              <w:rPr>
                <w:sz w:val="15"/>
                <w:szCs w:val="15"/>
              </w:rPr>
              <w:t xml:space="preserve">81.570 </w:t>
            </w:r>
          </w:p>
        </w:tc>
        <w:tc>
          <w:tcPr>
            <w:tcW w:w="709" w:type="dxa"/>
          </w:tcPr>
          <w:p w:rsidR="002221D8" w:rsidRDefault="002221D8">
            <w:pPr>
              <w:pStyle w:val="Default"/>
              <w:rPr>
                <w:sz w:val="15"/>
                <w:szCs w:val="15"/>
              </w:rPr>
            </w:pPr>
            <w:r>
              <w:rPr>
                <w:sz w:val="15"/>
                <w:szCs w:val="15"/>
              </w:rPr>
              <w:t xml:space="preserve">576 </w:t>
            </w:r>
          </w:p>
        </w:tc>
        <w:tc>
          <w:tcPr>
            <w:tcW w:w="992" w:type="dxa"/>
          </w:tcPr>
          <w:p w:rsidR="002221D8" w:rsidRDefault="002221D8">
            <w:pPr>
              <w:pStyle w:val="Default"/>
              <w:rPr>
                <w:sz w:val="15"/>
                <w:szCs w:val="15"/>
              </w:rPr>
            </w:pPr>
            <w:r>
              <w:rPr>
                <w:sz w:val="15"/>
                <w:szCs w:val="15"/>
              </w:rPr>
              <w:t xml:space="preserve">7.724.547 </w:t>
            </w:r>
          </w:p>
        </w:tc>
        <w:tc>
          <w:tcPr>
            <w:tcW w:w="628" w:type="dxa"/>
          </w:tcPr>
          <w:p w:rsidR="002221D8" w:rsidRDefault="002221D8">
            <w:pPr>
              <w:pStyle w:val="Default"/>
              <w:rPr>
                <w:sz w:val="15"/>
                <w:szCs w:val="15"/>
              </w:rPr>
            </w:pPr>
            <w:r>
              <w:rPr>
                <w:sz w:val="15"/>
                <w:szCs w:val="15"/>
              </w:rPr>
              <w:t xml:space="preserve">95 </w:t>
            </w:r>
          </w:p>
        </w:tc>
      </w:tr>
      <w:tr w:rsidR="002221D8" w:rsidTr="002221D8">
        <w:trPr>
          <w:trHeight w:val="69"/>
        </w:trPr>
        <w:tc>
          <w:tcPr>
            <w:tcW w:w="1101" w:type="dxa"/>
          </w:tcPr>
          <w:p w:rsidR="002221D8" w:rsidRPr="007A27C4" w:rsidRDefault="002221D8">
            <w:pPr>
              <w:pStyle w:val="Default"/>
              <w:rPr>
                <w:sz w:val="15"/>
                <w:szCs w:val="15"/>
              </w:rPr>
            </w:pPr>
            <w:r w:rsidRPr="007A27C4">
              <w:rPr>
                <w:bCs/>
                <w:sz w:val="15"/>
                <w:szCs w:val="15"/>
              </w:rPr>
              <w:t xml:space="preserve">Kanton Sarajevo </w:t>
            </w:r>
          </w:p>
        </w:tc>
        <w:tc>
          <w:tcPr>
            <w:tcW w:w="850" w:type="dxa"/>
          </w:tcPr>
          <w:p w:rsidR="002221D8" w:rsidRPr="007A27C4" w:rsidRDefault="002221D8">
            <w:pPr>
              <w:pStyle w:val="Default"/>
              <w:rPr>
                <w:sz w:val="15"/>
                <w:szCs w:val="15"/>
              </w:rPr>
            </w:pPr>
            <w:r w:rsidRPr="007A27C4">
              <w:rPr>
                <w:bCs/>
                <w:sz w:val="15"/>
                <w:szCs w:val="15"/>
              </w:rPr>
              <w:t xml:space="preserve">29,555% </w:t>
            </w:r>
          </w:p>
        </w:tc>
        <w:tc>
          <w:tcPr>
            <w:tcW w:w="1134" w:type="dxa"/>
          </w:tcPr>
          <w:p w:rsidR="002221D8" w:rsidRPr="007A27C4" w:rsidRDefault="002221D8">
            <w:pPr>
              <w:pStyle w:val="Default"/>
              <w:rPr>
                <w:sz w:val="15"/>
                <w:szCs w:val="15"/>
              </w:rPr>
            </w:pPr>
            <w:r w:rsidRPr="007A27C4">
              <w:rPr>
                <w:bCs/>
                <w:sz w:val="15"/>
                <w:szCs w:val="15"/>
              </w:rPr>
              <w:t xml:space="preserve">355.032.599 </w:t>
            </w:r>
          </w:p>
        </w:tc>
        <w:tc>
          <w:tcPr>
            <w:tcW w:w="992" w:type="dxa"/>
          </w:tcPr>
          <w:p w:rsidR="002221D8" w:rsidRPr="007A27C4" w:rsidRDefault="002221D8">
            <w:pPr>
              <w:pStyle w:val="Default"/>
              <w:rPr>
                <w:sz w:val="15"/>
                <w:szCs w:val="15"/>
              </w:rPr>
            </w:pPr>
            <w:r w:rsidRPr="007A27C4">
              <w:rPr>
                <w:bCs/>
                <w:sz w:val="15"/>
                <w:szCs w:val="15"/>
              </w:rPr>
              <w:t xml:space="preserve">442.669 </w:t>
            </w:r>
          </w:p>
        </w:tc>
        <w:tc>
          <w:tcPr>
            <w:tcW w:w="709" w:type="dxa"/>
          </w:tcPr>
          <w:p w:rsidR="002221D8" w:rsidRPr="007A27C4" w:rsidRDefault="002221D8">
            <w:pPr>
              <w:pStyle w:val="Default"/>
              <w:rPr>
                <w:sz w:val="15"/>
                <w:szCs w:val="15"/>
              </w:rPr>
            </w:pPr>
            <w:r w:rsidRPr="007A27C4">
              <w:rPr>
                <w:bCs/>
                <w:sz w:val="15"/>
                <w:szCs w:val="15"/>
              </w:rPr>
              <w:t xml:space="preserve">802 </w:t>
            </w:r>
          </w:p>
        </w:tc>
        <w:tc>
          <w:tcPr>
            <w:tcW w:w="851" w:type="dxa"/>
          </w:tcPr>
          <w:p w:rsidR="002221D8" w:rsidRPr="007A27C4" w:rsidRDefault="002221D8">
            <w:pPr>
              <w:pStyle w:val="Default"/>
              <w:rPr>
                <w:sz w:val="15"/>
                <w:szCs w:val="15"/>
              </w:rPr>
            </w:pPr>
            <w:r w:rsidRPr="007A27C4">
              <w:rPr>
                <w:bCs/>
                <w:sz w:val="15"/>
                <w:szCs w:val="15"/>
              </w:rPr>
              <w:t xml:space="preserve">17,818% </w:t>
            </w:r>
          </w:p>
        </w:tc>
        <w:tc>
          <w:tcPr>
            <w:tcW w:w="1134" w:type="dxa"/>
          </w:tcPr>
          <w:p w:rsidR="002221D8" w:rsidRPr="007A27C4" w:rsidRDefault="002221D8">
            <w:pPr>
              <w:pStyle w:val="Default"/>
              <w:rPr>
                <w:sz w:val="15"/>
                <w:szCs w:val="15"/>
              </w:rPr>
            </w:pPr>
            <w:r w:rsidRPr="007A27C4">
              <w:rPr>
                <w:bCs/>
                <w:sz w:val="15"/>
                <w:szCs w:val="15"/>
              </w:rPr>
              <w:t xml:space="preserve">214.037.344 </w:t>
            </w:r>
          </w:p>
        </w:tc>
        <w:tc>
          <w:tcPr>
            <w:tcW w:w="992" w:type="dxa"/>
          </w:tcPr>
          <w:p w:rsidR="002221D8" w:rsidRPr="007A27C4" w:rsidRDefault="002221D8">
            <w:pPr>
              <w:pStyle w:val="Default"/>
              <w:rPr>
                <w:sz w:val="15"/>
                <w:szCs w:val="15"/>
              </w:rPr>
            </w:pPr>
            <w:r w:rsidRPr="007A27C4">
              <w:rPr>
                <w:bCs/>
                <w:sz w:val="15"/>
                <w:szCs w:val="15"/>
              </w:rPr>
              <w:t xml:space="preserve">442.669 </w:t>
            </w:r>
          </w:p>
        </w:tc>
        <w:tc>
          <w:tcPr>
            <w:tcW w:w="709" w:type="dxa"/>
          </w:tcPr>
          <w:p w:rsidR="002221D8" w:rsidRPr="007A27C4" w:rsidRDefault="002221D8">
            <w:pPr>
              <w:pStyle w:val="Default"/>
              <w:rPr>
                <w:sz w:val="15"/>
                <w:szCs w:val="15"/>
              </w:rPr>
            </w:pPr>
            <w:r w:rsidRPr="007A27C4">
              <w:rPr>
                <w:bCs/>
                <w:sz w:val="15"/>
                <w:szCs w:val="15"/>
              </w:rPr>
              <w:t xml:space="preserve">484 </w:t>
            </w:r>
          </w:p>
        </w:tc>
        <w:tc>
          <w:tcPr>
            <w:tcW w:w="992" w:type="dxa"/>
          </w:tcPr>
          <w:p w:rsidR="002221D8" w:rsidRPr="007A27C4" w:rsidRDefault="002221D8">
            <w:pPr>
              <w:pStyle w:val="Default"/>
              <w:rPr>
                <w:sz w:val="15"/>
                <w:szCs w:val="15"/>
              </w:rPr>
            </w:pPr>
            <w:r w:rsidRPr="007A27C4">
              <w:rPr>
                <w:bCs/>
                <w:sz w:val="15"/>
                <w:szCs w:val="15"/>
              </w:rPr>
              <w:t xml:space="preserve">-140.995.255 </w:t>
            </w:r>
          </w:p>
        </w:tc>
        <w:tc>
          <w:tcPr>
            <w:tcW w:w="628" w:type="dxa"/>
          </w:tcPr>
          <w:p w:rsidR="002221D8" w:rsidRPr="007A27C4" w:rsidRDefault="002221D8">
            <w:pPr>
              <w:pStyle w:val="Default"/>
              <w:rPr>
                <w:sz w:val="15"/>
                <w:szCs w:val="15"/>
              </w:rPr>
            </w:pPr>
            <w:r w:rsidRPr="007A27C4">
              <w:rPr>
                <w:bCs/>
                <w:sz w:val="15"/>
                <w:szCs w:val="15"/>
              </w:rPr>
              <w:t xml:space="preserve">-318 </w:t>
            </w:r>
          </w:p>
        </w:tc>
      </w:tr>
      <w:tr w:rsidR="002221D8" w:rsidTr="002221D8">
        <w:trPr>
          <w:trHeight w:val="69"/>
        </w:trPr>
        <w:tc>
          <w:tcPr>
            <w:tcW w:w="1101" w:type="dxa"/>
          </w:tcPr>
          <w:p w:rsidR="002221D8" w:rsidRDefault="002221D8">
            <w:pPr>
              <w:pStyle w:val="Default"/>
              <w:rPr>
                <w:sz w:val="15"/>
                <w:szCs w:val="15"/>
              </w:rPr>
            </w:pPr>
            <w:r>
              <w:rPr>
                <w:sz w:val="15"/>
                <w:szCs w:val="15"/>
              </w:rPr>
              <w:t xml:space="preserve">Kanton 10 </w:t>
            </w:r>
          </w:p>
        </w:tc>
        <w:tc>
          <w:tcPr>
            <w:tcW w:w="850" w:type="dxa"/>
          </w:tcPr>
          <w:p w:rsidR="002221D8" w:rsidRDefault="002221D8">
            <w:pPr>
              <w:pStyle w:val="Default"/>
              <w:rPr>
                <w:sz w:val="15"/>
                <w:szCs w:val="15"/>
              </w:rPr>
            </w:pPr>
            <w:r>
              <w:rPr>
                <w:sz w:val="15"/>
                <w:szCs w:val="15"/>
              </w:rPr>
              <w:t xml:space="preserve">3,816% </w:t>
            </w:r>
          </w:p>
        </w:tc>
        <w:tc>
          <w:tcPr>
            <w:tcW w:w="1134" w:type="dxa"/>
          </w:tcPr>
          <w:p w:rsidR="002221D8" w:rsidRDefault="002221D8">
            <w:pPr>
              <w:pStyle w:val="Default"/>
              <w:rPr>
                <w:sz w:val="15"/>
                <w:szCs w:val="15"/>
              </w:rPr>
            </w:pPr>
            <w:r>
              <w:rPr>
                <w:sz w:val="15"/>
                <w:szCs w:val="15"/>
              </w:rPr>
              <w:t xml:space="preserve">45.843.525 </w:t>
            </w:r>
          </w:p>
        </w:tc>
        <w:tc>
          <w:tcPr>
            <w:tcW w:w="992" w:type="dxa"/>
          </w:tcPr>
          <w:p w:rsidR="002221D8" w:rsidRDefault="002221D8">
            <w:pPr>
              <w:pStyle w:val="Default"/>
              <w:rPr>
                <w:sz w:val="15"/>
                <w:szCs w:val="15"/>
              </w:rPr>
            </w:pPr>
            <w:r>
              <w:rPr>
                <w:sz w:val="15"/>
                <w:szCs w:val="15"/>
              </w:rPr>
              <w:t xml:space="preserve">78.849 </w:t>
            </w:r>
          </w:p>
        </w:tc>
        <w:tc>
          <w:tcPr>
            <w:tcW w:w="709" w:type="dxa"/>
          </w:tcPr>
          <w:p w:rsidR="002221D8" w:rsidRDefault="002221D8">
            <w:pPr>
              <w:pStyle w:val="Default"/>
              <w:rPr>
                <w:sz w:val="15"/>
                <w:szCs w:val="15"/>
              </w:rPr>
            </w:pPr>
            <w:r>
              <w:rPr>
                <w:sz w:val="15"/>
                <w:szCs w:val="15"/>
              </w:rPr>
              <w:t xml:space="preserve">581 </w:t>
            </w:r>
          </w:p>
        </w:tc>
        <w:tc>
          <w:tcPr>
            <w:tcW w:w="851" w:type="dxa"/>
          </w:tcPr>
          <w:p w:rsidR="002221D8" w:rsidRDefault="002221D8">
            <w:pPr>
              <w:pStyle w:val="Default"/>
              <w:rPr>
                <w:sz w:val="15"/>
                <w:szCs w:val="15"/>
              </w:rPr>
            </w:pPr>
            <w:r>
              <w:rPr>
                <w:sz w:val="15"/>
                <w:szCs w:val="15"/>
              </w:rPr>
              <w:t xml:space="preserve">4,068% </w:t>
            </w:r>
          </w:p>
        </w:tc>
        <w:tc>
          <w:tcPr>
            <w:tcW w:w="1134" w:type="dxa"/>
          </w:tcPr>
          <w:p w:rsidR="002221D8" w:rsidRDefault="002221D8">
            <w:pPr>
              <w:pStyle w:val="Default"/>
              <w:rPr>
                <w:sz w:val="15"/>
                <w:szCs w:val="15"/>
              </w:rPr>
            </w:pPr>
            <w:r>
              <w:rPr>
                <w:sz w:val="15"/>
                <w:szCs w:val="15"/>
              </w:rPr>
              <w:t xml:space="preserve">48.872.578 </w:t>
            </w:r>
          </w:p>
        </w:tc>
        <w:tc>
          <w:tcPr>
            <w:tcW w:w="992" w:type="dxa"/>
          </w:tcPr>
          <w:p w:rsidR="002221D8" w:rsidRDefault="002221D8">
            <w:pPr>
              <w:pStyle w:val="Default"/>
              <w:rPr>
                <w:sz w:val="15"/>
                <w:szCs w:val="15"/>
              </w:rPr>
            </w:pPr>
            <w:r>
              <w:rPr>
                <w:sz w:val="15"/>
                <w:szCs w:val="15"/>
              </w:rPr>
              <w:t xml:space="preserve">78.849 </w:t>
            </w:r>
          </w:p>
        </w:tc>
        <w:tc>
          <w:tcPr>
            <w:tcW w:w="709" w:type="dxa"/>
          </w:tcPr>
          <w:p w:rsidR="002221D8" w:rsidRDefault="002221D8">
            <w:pPr>
              <w:pStyle w:val="Default"/>
              <w:rPr>
                <w:sz w:val="15"/>
                <w:szCs w:val="15"/>
              </w:rPr>
            </w:pPr>
            <w:r>
              <w:rPr>
                <w:sz w:val="15"/>
                <w:szCs w:val="15"/>
              </w:rPr>
              <w:t xml:space="preserve">620 </w:t>
            </w:r>
          </w:p>
        </w:tc>
        <w:tc>
          <w:tcPr>
            <w:tcW w:w="992" w:type="dxa"/>
          </w:tcPr>
          <w:p w:rsidR="002221D8" w:rsidRDefault="002221D8">
            <w:pPr>
              <w:pStyle w:val="Default"/>
              <w:rPr>
                <w:sz w:val="15"/>
                <w:szCs w:val="15"/>
              </w:rPr>
            </w:pPr>
            <w:r>
              <w:rPr>
                <w:sz w:val="15"/>
                <w:szCs w:val="15"/>
              </w:rPr>
              <w:t xml:space="preserve">3.029.053 </w:t>
            </w:r>
          </w:p>
        </w:tc>
        <w:tc>
          <w:tcPr>
            <w:tcW w:w="628" w:type="dxa"/>
          </w:tcPr>
          <w:p w:rsidR="002221D8" w:rsidRDefault="002221D8">
            <w:pPr>
              <w:pStyle w:val="Default"/>
              <w:rPr>
                <w:sz w:val="15"/>
                <w:szCs w:val="15"/>
              </w:rPr>
            </w:pPr>
            <w:r>
              <w:rPr>
                <w:sz w:val="15"/>
                <w:szCs w:val="15"/>
              </w:rPr>
              <w:t xml:space="preserve">39 </w:t>
            </w:r>
          </w:p>
        </w:tc>
      </w:tr>
      <w:tr w:rsidR="002221D8" w:rsidTr="002221D8">
        <w:trPr>
          <w:trHeight w:val="69"/>
        </w:trPr>
        <w:tc>
          <w:tcPr>
            <w:tcW w:w="1101" w:type="dxa"/>
          </w:tcPr>
          <w:p w:rsidR="002221D8" w:rsidRDefault="002221D8">
            <w:pPr>
              <w:pStyle w:val="Default"/>
              <w:rPr>
                <w:sz w:val="15"/>
                <w:szCs w:val="15"/>
              </w:rPr>
            </w:pPr>
            <w:r>
              <w:rPr>
                <w:b/>
                <w:bCs/>
                <w:sz w:val="15"/>
                <w:szCs w:val="15"/>
              </w:rPr>
              <w:t xml:space="preserve">UKUPNO </w:t>
            </w:r>
          </w:p>
        </w:tc>
        <w:tc>
          <w:tcPr>
            <w:tcW w:w="850" w:type="dxa"/>
          </w:tcPr>
          <w:p w:rsidR="002221D8" w:rsidRDefault="002221D8">
            <w:pPr>
              <w:pStyle w:val="Default"/>
              <w:rPr>
                <w:sz w:val="15"/>
                <w:szCs w:val="15"/>
              </w:rPr>
            </w:pPr>
            <w:r>
              <w:rPr>
                <w:sz w:val="15"/>
                <w:szCs w:val="15"/>
              </w:rPr>
              <w:t xml:space="preserve">100,000% </w:t>
            </w:r>
          </w:p>
        </w:tc>
        <w:tc>
          <w:tcPr>
            <w:tcW w:w="1134" w:type="dxa"/>
          </w:tcPr>
          <w:p w:rsidR="002221D8" w:rsidRDefault="002221D8">
            <w:pPr>
              <w:pStyle w:val="Default"/>
              <w:rPr>
                <w:sz w:val="15"/>
                <w:szCs w:val="15"/>
              </w:rPr>
            </w:pPr>
            <w:r>
              <w:rPr>
                <w:sz w:val="15"/>
                <w:szCs w:val="15"/>
              </w:rPr>
              <w:t xml:space="preserve">1.201.269.009 </w:t>
            </w:r>
          </w:p>
        </w:tc>
        <w:tc>
          <w:tcPr>
            <w:tcW w:w="992" w:type="dxa"/>
          </w:tcPr>
          <w:p w:rsidR="002221D8" w:rsidRDefault="002221D8">
            <w:pPr>
              <w:pStyle w:val="Default"/>
              <w:rPr>
                <w:sz w:val="15"/>
                <w:szCs w:val="15"/>
              </w:rPr>
            </w:pPr>
            <w:r>
              <w:rPr>
                <w:b/>
                <w:bCs/>
                <w:sz w:val="15"/>
                <w:szCs w:val="15"/>
              </w:rPr>
              <w:t xml:space="preserve">2.337.200 </w:t>
            </w:r>
          </w:p>
        </w:tc>
        <w:tc>
          <w:tcPr>
            <w:tcW w:w="709" w:type="dxa"/>
          </w:tcPr>
          <w:p w:rsidR="002221D8" w:rsidRDefault="002221D8">
            <w:pPr>
              <w:pStyle w:val="Default"/>
              <w:rPr>
                <w:sz w:val="15"/>
                <w:szCs w:val="15"/>
              </w:rPr>
            </w:pPr>
            <w:r>
              <w:rPr>
                <w:sz w:val="15"/>
                <w:szCs w:val="15"/>
              </w:rPr>
              <w:t xml:space="preserve">514 </w:t>
            </w:r>
          </w:p>
        </w:tc>
        <w:tc>
          <w:tcPr>
            <w:tcW w:w="851" w:type="dxa"/>
          </w:tcPr>
          <w:p w:rsidR="002221D8" w:rsidRDefault="002221D8">
            <w:pPr>
              <w:pStyle w:val="Default"/>
              <w:rPr>
                <w:sz w:val="15"/>
                <w:szCs w:val="15"/>
              </w:rPr>
            </w:pPr>
            <w:r>
              <w:rPr>
                <w:sz w:val="15"/>
                <w:szCs w:val="15"/>
              </w:rPr>
              <w:t xml:space="preserve">100,000% </w:t>
            </w:r>
          </w:p>
        </w:tc>
        <w:tc>
          <w:tcPr>
            <w:tcW w:w="1134" w:type="dxa"/>
          </w:tcPr>
          <w:p w:rsidR="002221D8" w:rsidRDefault="002221D8">
            <w:pPr>
              <w:pStyle w:val="Default"/>
              <w:rPr>
                <w:sz w:val="15"/>
                <w:szCs w:val="15"/>
              </w:rPr>
            </w:pPr>
            <w:r>
              <w:rPr>
                <w:b/>
                <w:bCs/>
                <w:sz w:val="15"/>
                <w:szCs w:val="15"/>
              </w:rPr>
              <w:t xml:space="preserve">1.201.269.009 </w:t>
            </w:r>
          </w:p>
        </w:tc>
        <w:tc>
          <w:tcPr>
            <w:tcW w:w="992" w:type="dxa"/>
          </w:tcPr>
          <w:p w:rsidR="002221D8" w:rsidRDefault="002221D8">
            <w:pPr>
              <w:pStyle w:val="Default"/>
              <w:rPr>
                <w:sz w:val="15"/>
                <w:szCs w:val="15"/>
              </w:rPr>
            </w:pPr>
            <w:r>
              <w:rPr>
                <w:b/>
                <w:bCs/>
                <w:sz w:val="15"/>
                <w:szCs w:val="15"/>
              </w:rPr>
              <w:t xml:space="preserve">2.337.200 </w:t>
            </w:r>
          </w:p>
        </w:tc>
        <w:tc>
          <w:tcPr>
            <w:tcW w:w="709" w:type="dxa"/>
          </w:tcPr>
          <w:p w:rsidR="002221D8" w:rsidRDefault="002221D8">
            <w:pPr>
              <w:pStyle w:val="Default"/>
              <w:rPr>
                <w:sz w:val="15"/>
                <w:szCs w:val="15"/>
              </w:rPr>
            </w:pPr>
            <w:r>
              <w:rPr>
                <w:b/>
                <w:bCs/>
                <w:sz w:val="15"/>
                <w:szCs w:val="15"/>
              </w:rPr>
              <w:t xml:space="preserve">514 </w:t>
            </w:r>
          </w:p>
        </w:tc>
        <w:tc>
          <w:tcPr>
            <w:tcW w:w="992" w:type="dxa"/>
          </w:tcPr>
          <w:p w:rsidR="002221D8" w:rsidRDefault="002221D8">
            <w:pPr>
              <w:pStyle w:val="Default"/>
              <w:rPr>
                <w:sz w:val="15"/>
                <w:szCs w:val="15"/>
              </w:rPr>
            </w:pPr>
            <w:r>
              <w:rPr>
                <w:b/>
                <w:bCs/>
                <w:sz w:val="15"/>
                <w:szCs w:val="15"/>
              </w:rPr>
              <w:t xml:space="preserve">0 </w:t>
            </w:r>
          </w:p>
        </w:tc>
        <w:tc>
          <w:tcPr>
            <w:tcW w:w="628" w:type="dxa"/>
          </w:tcPr>
          <w:p w:rsidR="002221D8" w:rsidRDefault="002221D8">
            <w:pPr>
              <w:pStyle w:val="Default"/>
              <w:rPr>
                <w:sz w:val="15"/>
                <w:szCs w:val="15"/>
              </w:rPr>
            </w:pPr>
            <w:r>
              <w:rPr>
                <w:b/>
                <w:bCs/>
                <w:sz w:val="15"/>
                <w:szCs w:val="15"/>
              </w:rPr>
              <w:t xml:space="preserve">0 </w:t>
            </w:r>
          </w:p>
        </w:tc>
      </w:tr>
    </w:tbl>
    <w:p w:rsidR="00D247BB" w:rsidRDefault="00D247BB" w:rsidP="008C3988">
      <w:pPr>
        <w:jc w:val="both"/>
        <w:rPr>
          <w:rFonts w:ascii="Arial" w:hAnsi="Arial" w:cs="Arial"/>
          <w:b/>
          <w:sz w:val="24"/>
          <w:szCs w:val="24"/>
        </w:rPr>
      </w:pPr>
    </w:p>
    <w:p w:rsidR="00313719" w:rsidRDefault="00313719" w:rsidP="008C3988">
      <w:pPr>
        <w:jc w:val="both"/>
        <w:rPr>
          <w:rFonts w:ascii="Arial" w:hAnsi="Arial" w:cs="Arial"/>
          <w:b/>
          <w:sz w:val="24"/>
          <w:szCs w:val="24"/>
        </w:rPr>
      </w:pPr>
    </w:p>
    <w:p w:rsidR="00D247BB" w:rsidRDefault="002E18A2" w:rsidP="008C3988">
      <w:pPr>
        <w:jc w:val="both"/>
        <w:rPr>
          <w:rFonts w:ascii="Arial" w:hAnsi="Arial" w:cs="Arial"/>
          <w:b/>
          <w:sz w:val="24"/>
          <w:szCs w:val="24"/>
        </w:rPr>
      </w:pPr>
      <w:r>
        <w:rPr>
          <w:rFonts w:ascii="Arial" w:hAnsi="Arial" w:cs="Arial"/>
          <w:b/>
          <w:sz w:val="24"/>
          <w:szCs w:val="24"/>
        </w:rPr>
        <w:t>6</w:t>
      </w:r>
      <w:r w:rsidR="00D80D6D" w:rsidRPr="00D80D6D">
        <w:rPr>
          <w:rFonts w:ascii="Arial" w:hAnsi="Arial" w:cs="Arial"/>
          <w:b/>
          <w:sz w:val="24"/>
          <w:szCs w:val="24"/>
        </w:rPr>
        <w:t xml:space="preserve">. </w:t>
      </w:r>
      <w:r w:rsidR="00243657">
        <w:rPr>
          <w:rFonts w:ascii="Arial" w:hAnsi="Arial" w:cs="Arial"/>
          <w:b/>
          <w:sz w:val="24"/>
          <w:szCs w:val="24"/>
        </w:rPr>
        <w:t xml:space="preserve"> ZAKLJUČAK</w:t>
      </w:r>
    </w:p>
    <w:p w:rsidR="00977027" w:rsidRPr="003D5543" w:rsidRDefault="00977027" w:rsidP="008C3988">
      <w:pPr>
        <w:jc w:val="both"/>
        <w:rPr>
          <w:rFonts w:ascii="Arial" w:hAnsi="Arial" w:cs="Arial"/>
          <w:b/>
          <w:sz w:val="24"/>
          <w:szCs w:val="24"/>
        </w:rPr>
      </w:pPr>
    </w:p>
    <w:p w:rsidR="00243657" w:rsidRDefault="00243657" w:rsidP="00977027">
      <w:pPr>
        <w:pStyle w:val="Default"/>
        <w:spacing w:line="276" w:lineRule="auto"/>
        <w:jc w:val="both"/>
        <w:rPr>
          <w:rFonts w:ascii="Arial" w:hAnsi="Arial" w:cs="Arial"/>
          <w:sz w:val="22"/>
          <w:szCs w:val="22"/>
        </w:rPr>
      </w:pPr>
      <w:r w:rsidRPr="00243657">
        <w:rPr>
          <w:rFonts w:ascii="Arial" w:hAnsi="Arial" w:cs="Arial"/>
          <w:sz w:val="22"/>
          <w:szCs w:val="22"/>
        </w:rPr>
        <w:t xml:space="preserve">Analiza načina raspodjele javnih prihoda od indirektnih poreza za kantone Federacije BiH, u skladu sa </w:t>
      </w:r>
      <w:r w:rsidR="009369C3">
        <w:rPr>
          <w:rFonts w:ascii="Arial" w:hAnsi="Arial" w:cs="Arial"/>
          <w:sz w:val="22"/>
          <w:szCs w:val="22"/>
        </w:rPr>
        <w:t>važećim zakonskim regulativama i</w:t>
      </w:r>
      <w:r w:rsidR="00FD612B">
        <w:rPr>
          <w:rFonts w:ascii="Arial" w:hAnsi="Arial" w:cs="Arial"/>
          <w:sz w:val="22"/>
          <w:szCs w:val="22"/>
        </w:rPr>
        <w:t xml:space="preserve"> analizom</w:t>
      </w:r>
      <w:r>
        <w:rPr>
          <w:rFonts w:ascii="Arial" w:hAnsi="Arial" w:cs="Arial"/>
          <w:sz w:val="22"/>
          <w:szCs w:val="22"/>
        </w:rPr>
        <w:t xml:space="preserve"> izdvajanja za civilne žrtve rata po kantonima kao pokazatelj potreba za socijalnom i zdravstvenom zaštitom po kantonima </w:t>
      </w:r>
      <w:r w:rsidR="009369C3">
        <w:rPr>
          <w:rFonts w:ascii="Arial" w:hAnsi="Arial" w:cs="Arial"/>
          <w:sz w:val="22"/>
          <w:szCs w:val="22"/>
        </w:rPr>
        <w:t xml:space="preserve">kao i </w:t>
      </w:r>
      <w:r w:rsidR="00981A7A">
        <w:rPr>
          <w:rFonts w:ascii="Arial" w:hAnsi="Arial" w:cs="Arial"/>
          <w:sz w:val="22"/>
          <w:szCs w:val="22"/>
        </w:rPr>
        <w:t>prikaz neizgrađenosti infrastruk</w:t>
      </w:r>
      <w:r w:rsidR="009369C3">
        <w:rPr>
          <w:rFonts w:ascii="Arial" w:hAnsi="Arial" w:cs="Arial"/>
          <w:sz w:val="22"/>
          <w:szCs w:val="22"/>
        </w:rPr>
        <w:t>ture na p</w:t>
      </w:r>
      <w:r w:rsidR="00981A7A">
        <w:rPr>
          <w:rFonts w:ascii="Arial" w:hAnsi="Arial" w:cs="Arial"/>
          <w:sz w:val="22"/>
          <w:szCs w:val="22"/>
        </w:rPr>
        <w:t>o</w:t>
      </w:r>
      <w:r w:rsidR="009369C3">
        <w:rPr>
          <w:rFonts w:ascii="Arial" w:hAnsi="Arial" w:cs="Arial"/>
          <w:sz w:val="22"/>
          <w:szCs w:val="22"/>
        </w:rPr>
        <w:t>dručju Bosansko-podrinjskog kantona Goražde nedvojbeno je ukazuju</w:t>
      </w:r>
      <w:r w:rsidRPr="00243657">
        <w:rPr>
          <w:rFonts w:ascii="Arial" w:hAnsi="Arial" w:cs="Arial"/>
          <w:sz w:val="22"/>
          <w:szCs w:val="22"/>
        </w:rPr>
        <w:t xml:space="preserve"> na: </w:t>
      </w:r>
    </w:p>
    <w:p w:rsidR="00A95A86" w:rsidRPr="00243657" w:rsidRDefault="00A95A86" w:rsidP="00977027">
      <w:pPr>
        <w:pStyle w:val="Default"/>
        <w:spacing w:line="276" w:lineRule="auto"/>
        <w:jc w:val="both"/>
        <w:rPr>
          <w:rFonts w:ascii="Arial" w:hAnsi="Arial" w:cs="Arial"/>
          <w:sz w:val="22"/>
          <w:szCs w:val="22"/>
        </w:rPr>
      </w:pPr>
    </w:p>
    <w:p w:rsidR="00F25D3F" w:rsidRDefault="00243657" w:rsidP="00977027">
      <w:pPr>
        <w:pStyle w:val="Default"/>
        <w:spacing w:after="145" w:line="276" w:lineRule="auto"/>
        <w:jc w:val="both"/>
        <w:rPr>
          <w:rFonts w:ascii="Arial" w:hAnsi="Arial" w:cs="Arial"/>
          <w:sz w:val="22"/>
          <w:szCs w:val="22"/>
        </w:rPr>
      </w:pPr>
      <w:r w:rsidRPr="00243657">
        <w:rPr>
          <w:rFonts w:ascii="Arial" w:hAnsi="Arial" w:cs="Arial"/>
          <w:sz w:val="22"/>
          <w:szCs w:val="22"/>
        </w:rPr>
        <w:t xml:space="preserve">1. </w:t>
      </w:r>
      <w:r>
        <w:rPr>
          <w:rFonts w:ascii="Arial" w:hAnsi="Arial" w:cs="Arial"/>
          <w:sz w:val="22"/>
          <w:szCs w:val="22"/>
        </w:rPr>
        <w:t xml:space="preserve">Obzirom na </w:t>
      </w:r>
      <w:r w:rsidR="008733CE">
        <w:rPr>
          <w:rFonts w:ascii="Arial" w:hAnsi="Arial" w:cs="Arial"/>
          <w:sz w:val="22"/>
          <w:szCs w:val="22"/>
        </w:rPr>
        <w:t>izuzetno velike</w:t>
      </w:r>
      <w:r>
        <w:rPr>
          <w:rFonts w:ascii="Arial" w:hAnsi="Arial" w:cs="Arial"/>
          <w:sz w:val="22"/>
          <w:szCs w:val="22"/>
        </w:rPr>
        <w:t xml:space="preserve"> razlike između kantona u pogledu potreba stanovništva za socijalnom i zdravstvenom zaštitom </w:t>
      </w:r>
      <w:r w:rsidR="00D247BB">
        <w:rPr>
          <w:rFonts w:ascii="Arial" w:hAnsi="Arial" w:cs="Arial"/>
          <w:sz w:val="22"/>
          <w:szCs w:val="22"/>
        </w:rPr>
        <w:t>neophodno je</w:t>
      </w:r>
      <w:r>
        <w:rPr>
          <w:rFonts w:ascii="Arial" w:hAnsi="Arial" w:cs="Arial"/>
          <w:sz w:val="22"/>
          <w:szCs w:val="22"/>
        </w:rPr>
        <w:t xml:space="preserve"> izrad</w:t>
      </w:r>
      <w:r w:rsidR="00D247BB">
        <w:rPr>
          <w:rFonts w:ascii="Arial" w:hAnsi="Arial" w:cs="Arial"/>
          <w:sz w:val="22"/>
          <w:szCs w:val="22"/>
        </w:rPr>
        <w:t>iti</w:t>
      </w:r>
      <w:r>
        <w:rPr>
          <w:rFonts w:ascii="Arial" w:hAnsi="Arial" w:cs="Arial"/>
          <w:sz w:val="22"/>
          <w:szCs w:val="22"/>
        </w:rPr>
        <w:t xml:space="preserve"> analize </w:t>
      </w:r>
      <w:r w:rsidR="008733CE">
        <w:rPr>
          <w:rFonts w:ascii="Arial" w:hAnsi="Arial" w:cs="Arial"/>
          <w:sz w:val="22"/>
          <w:szCs w:val="22"/>
        </w:rPr>
        <w:t>stanja u obla</w:t>
      </w:r>
      <w:r w:rsidR="00A27B12">
        <w:rPr>
          <w:rFonts w:ascii="Arial" w:hAnsi="Arial" w:cs="Arial"/>
          <w:sz w:val="22"/>
          <w:szCs w:val="22"/>
        </w:rPr>
        <w:t>sti</w:t>
      </w:r>
      <w:r w:rsidR="008733CE">
        <w:rPr>
          <w:rFonts w:ascii="Arial" w:hAnsi="Arial" w:cs="Arial"/>
          <w:sz w:val="22"/>
          <w:szCs w:val="22"/>
        </w:rPr>
        <w:t xml:space="preserve"> socijalne i zdravstvene </w:t>
      </w:r>
      <w:r w:rsidR="00A27B12">
        <w:rPr>
          <w:rFonts w:ascii="Arial" w:hAnsi="Arial" w:cs="Arial"/>
          <w:sz w:val="22"/>
          <w:szCs w:val="22"/>
        </w:rPr>
        <w:t xml:space="preserve">zaštite </w:t>
      </w:r>
      <w:r w:rsidR="008733CE">
        <w:rPr>
          <w:rFonts w:ascii="Arial" w:hAnsi="Arial" w:cs="Arial"/>
          <w:sz w:val="22"/>
          <w:szCs w:val="22"/>
        </w:rPr>
        <w:t>kako bi se sagledale potrebe po određenim kantonima te kako bi se te potrebe imale u vidu</w:t>
      </w:r>
      <w:r>
        <w:rPr>
          <w:rFonts w:ascii="Arial" w:hAnsi="Arial" w:cs="Arial"/>
          <w:sz w:val="22"/>
          <w:szCs w:val="22"/>
        </w:rPr>
        <w:t xml:space="preserve"> </w:t>
      </w:r>
      <w:r w:rsidR="008733CE">
        <w:rPr>
          <w:rFonts w:ascii="Arial" w:hAnsi="Arial" w:cs="Arial"/>
          <w:sz w:val="22"/>
          <w:szCs w:val="22"/>
        </w:rPr>
        <w:t>prili</w:t>
      </w:r>
      <w:r w:rsidR="00981A7A">
        <w:rPr>
          <w:rFonts w:ascii="Arial" w:hAnsi="Arial" w:cs="Arial"/>
          <w:sz w:val="22"/>
          <w:szCs w:val="22"/>
        </w:rPr>
        <w:t>k</w:t>
      </w:r>
      <w:r w:rsidR="008733CE">
        <w:rPr>
          <w:rFonts w:ascii="Arial" w:hAnsi="Arial" w:cs="Arial"/>
          <w:sz w:val="22"/>
          <w:szCs w:val="22"/>
        </w:rPr>
        <w:t xml:space="preserve">om izrade novog Zakona o pripadnosti javnih prihoda u </w:t>
      </w:r>
      <w:r w:rsidR="00600D6E">
        <w:rPr>
          <w:rFonts w:ascii="Arial" w:hAnsi="Arial" w:cs="Arial"/>
          <w:sz w:val="22"/>
          <w:szCs w:val="22"/>
        </w:rPr>
        <w:t>Federaciji Bosne i Hercegovine</w:t>
      </w:r>
      <w:r w:rsidR="00F25D3F">
        <w:rPr>
          <w:rFonts w:ascii="Arial" w:hAnsi="Arial" w:cs="Arial"/>
          <w:sz w:val="22"/>
          <w:szCs w:val="22"/>
        </w:rPr>
        <w:t>.</w:t>
      </w:r>
      <w:r w:rsidR="00600D6E">
        <w:rPr>
          <w:rFonts w:ascii="Arial" w:hAnsi="Arial" w:cs="Arial"/>
          <w:sz w:val="22"/>
          <w:szCs w:val="22"/>
        </w:rPr>
        <w:t xml:space="preserve"> </w:t>
      </w:r>
    </w:p>
    <w:p w:rsidR="00722561" w:rsidRDefault="00243657" w:rsidP="00977027">
      <w:pPr>
        <w:pStyle w:val="Default"/>
        <w:spacing w:after="145" w:line="276" w:lineRule="auto"/>
        <w:jc w:val="both"/>
        <w:rPr>
          <w:rFonts w:ascii="Arial" w:hAnsi="Arial" w:cs="Arial"/>
          <w:sz w:val="22"/>
          <w:szCs w:val="22"/>
        </w:rPr>
      </w:pPr>
      <w:r w:rsidRPr="00243657">
        <w:rPr>
          <w:rFonts w:ascii="Arial" w:hAnsi="Arial" w:cs="Arial"/>
          <w:sz w:val="22"/>
          <w:szCs w:val="22"/>
        </w:rPr>
        <w:t xml:space="preserve">2. </w:t>
      </w:r>
      <w:r w:rsidR="00A27B12">
        <w:rPr>
          <w:rFonts w:ascii="Arial" w:hAnsi="Arial" w:cs="Arial"/>
          <w:sz w:val="22"/>
          <w:szCs w:val="22"/>
        </w:rPr>
        <w:t>Nakon izrade analize stanja u oblasti socijalne i zdravstvene zaštite</w:t>
      </w:r>
      <w:r w:rsidR="003477C6">
        <w:rPr>
          <w:rFonts w:ascii="Arial" w:hAnsi="Arial" w:cs="Arial"/>
          <w:sz w:val="22"/>
          <w:szCs w:val="22"/>
        </w:rPr>
        <w:t>,</w:t>
      </w:r>
      <w:r w:rsidR="00A27B12">
        <w:rPr>
          <w:rFonts w:ascii="Arial" w:hAnsi="Arial" w:cs="Arial"/>
          <w:sz w:val="22"/>
          <w:szCs w:val="22"/>
        </w:rPr>
        <w:t xml:space="preserve"> potrebno je pristupiti izradi novog Zakona o pripadnosti javnih prihoda u Federaciji Bosne i Hercegovine  i to na način da</w:t>
      </w:r>
      <w:r w:rsidR="00F25D3F">
        <w:rPr>
          <w:rFonts w:ascii="Arial" w:hAnsi="Arial" w:cs="Arial"/>
          <w:sz w:val="22"/>
          <w:szCs w:val="22"/>
        </w:rPr>
        <w:t xml:space="preserve"> se</w:t>
      </w:r>
      <w:r w:rsidR="00722561">
        <w:rPr>
          <w:rFonts w:ascii="Arial" w:hAnsi="Arial" w:cs="Arial"/>
          <w:sz w:val="22"/>
          <w:szCs w:val="22"/>
        </w:rPr>
        <w:t>:</w:t>
      </w:r>
    </w:p>
    <w:p w:rsidR="00722561" w:rsidRDefault="00722561" w:rsidP="00977027">
      <w:pPr>
        <w:pStyle w:val="Default"/>
        <w:spacing w:after="145" w:line="276" w:lineRule="auto"/>
        <w:jc w:val="both"/>
        <w:rPr>
          <w:rFonts w:ascii="Arial" w:hAnsi="Arial" w:cs="Arial"/>
          <w:sz w:val="22"/>
          <w:szCs w:val="22"/>
        </w:rPr>
      </w:pPr>
      <w:r>
        <w:rPr>
          <w:rFonts w:ascii="Arial" w:hAnsi="Arial" w:cs="Arial"/>
          <w:sz w:val="22"/>
          <w:szCs w:val="22"/>
        </w:rPr>
        <w:t>-</w:t>
      </w:r>
      <w:r w:rsidR="00981A7A">
        <w:rPr>
          <w:rFonts w:ascii="Arial" w:hAnsi="Arial" w:cs="Arial"/>
          <w:sz w:val="22"/>
          <w:szCs w:val="22"/>
        </w:rPr>
        <w:t xml:space="preserve"> kao dodatni kriterij</w:t>
      </w:r>
      <w:r w:rsidR="00F25D3F">
        <w:rPr>
          <w:rFonts w:ascii="Arial" w:hAnsi="Arial" w:cs="Arial"/>
          <w:sz w:val="22"/>
          <w:szCs w:val="22"/>
        </w:rPr>
        <w:t xml:space="preserve"> </w:t>
      </w:r>
      <w:r w:rsidR="00F25D3F" w:rsidRPr="00F25D3F">
        <w:rPr>
          <w:rFonts w:ascii="Arial" w:eastAsia="Calibri" w:hAnsi="Arial" w:cs="Arial"/>
          <w:sz w:val="22"/>
          <w:szCs w:val="22"/>
        </w:rPr>
        <w:t>uved</w:t>
      </w:r>
      <w:r w:rsidR="00A27B12">
        <w:rPr>
          <w:rFonts w:ascii="Arial" w:hAnsi="Arial" w:cs="Arial"/>
          <w:sz w:val="22"/>
          <w:szCs w:val="22"/>
        </w:rPr>
        <w:t>e</w:t>
      </w:r>
      <w:r w:rsidR="00F25D3F" w:rsidRPr="00F25D3F">
        <w:rPr>
          <w:rFonts w:ascii="Arial" w:eastAsia="Calibri" w:hAnsi="Arial" w:cs="Arial"/>
          <w:sz w:val="22"/>
          <w:szCs w:val="22"/>
        </w:rPr>
        <w:t xml:space="preserve"> broj oboljelih osoba</w:t>
      </w:r>
      <w:r w:rsidR="00981A7A">
        <w:rPr>
          <w:rFonts w:ascii="Arial" w:eastAsia="Calibri" w:hAnsi="Arial" w:cs="Arial"/>
          <w:sz w:val="22"/>
          <w:szCs w:val="22"/>
        </w:rPr>
        <w:t>,</w:t>
      </w:r>
      <w:r w:rsidR="00F25D3F" w:rsidRPr="00F25D3F">
        <w:rPr>
          <w:rFonts w:ascii="Arial" w:eastAsia="Calibri" w:hAnsi="Arial" w:cs="Arial"/>
          <w:sz w:val="22"/>
          <w:szCs w:val="22"/>
        </w:rPr>
        <w:t xml:space="preserve"> te broj korisnika socijalne zaštite na području određenog kantona, odnosno učešće istih u ukupnom broju stanovnika, </w:t>
      </w:r>
      <w:r w:rsidR="00A27B12">
        <w:rPr>
          <w:rFonts w:ascii="Arial" w:hAnsi="Arial" w:cs="Arial"/>
          <w:sz w:val="22"/>
          <w:szCs w:val="22"/>
        </w:rPr>
        <w:t>obzirom da</w:t>
      </w:r>
      <w:r w:rsidR="0021377D">
        <w:rPr>
          <w:rFonts w:ascii="Arial" w:hAnsi="Arial" w:cs="Arial"/>
          <w:sz w:val="22"/>
          <w:szCs w:val="22"/>
        </w:rPr>
        <w:t xml:space="preserve"> s</w:t>
      </w:r>
      <w:r w:rsidR="00A27B12">
        <w:rPr>
          <w:rFonts w:ascii="Arial" w:hAnsi="Arial" w:cs="Arial"/>
          <w:sz w:val="22"/>
          <w:szCs w:val="22"/>
        </w:rPr>
        <w:t>u socijalna zaštita i zdravstvo u nadležnosti kantona</w:t>
      </w:r>
      <w:r w:rsidR="00981A7A">
        <w:rPr>
          <w:rFonts w:ascii="Arial" w:hAnsi="Arial" w:cs="Arial"/>
          <w:sz w:val="22"/>
          <w:szCs w:val="22"/>
        </w:rPr>
        <w:t>;</w:t>
      </w:r>
      <w:r w:rsidR="0021377D">
        <w:rPr>
          <w:rFonts w:ascii="Arial" w:hAnsi="Arial" w:cs="Arial"/>
          <w:sz w:val="22"/>
          <w:szCs w:val="22"/>
        </w:rPr>
        <w:t xml:space="preserve"> </w:t>
      </w:r>
    </w:p>
    <w:p w:rsidR="00D645A4" w:rsidRDefault="00722561" w:rsidP="00977027">
      <w:pPr>
        <w:pStyle w:val="Default"/>
        <w:spacing w:after="145" w:line="276" w:lineRule="auto"/>
        <w:jc w:val="both"/>
        <w:rPr>
          <w:rFonts w:ascii="Arial" w:hAnsi="Arial" w:cs="Arial"/>
          <w:sz w:val="22"/>
          <w:szCs w:val="22"/>
        </w:rPr>
      </w:pPr>
      <w:r>
        <w:rPr>
          <w:rFonts w:ascii="Arial" w:hAnsi="Arial" w:cs="Arial"/>
          <w:sz w:val="22"/>
          <w:szCs w:val="22"/>
        </w:rPr>
        <w:t xml:space="preserve">- </w:t>
      </w:r>
      <w:r w:rsidR="00D645A4">
        <w:rPr>
          <w:rFonts w:ascii="Arial" w:hAnsi="Arial" w:cs="Arial"/>
          <w:sz w:val="22"/>
          <w:szCs w:val="22"/>
        </w:rPr>
        <w:t>da se broj stanovnika</w:t>
      </w:r>
      <w:r w:rsidR="00981A7A">
        <w:rPr>
          <w:rFonts w:ascii="Arial" w:hAnsi="Arial" w:cs="Arial"/>
          <w:sz w:val="22"/>
          <w:szCs w:val="22"/>
        </w:rPr>
        <w:t>,</w:t>
      </w:r>
      <w:r w:rsidR="00D645A4">
        <w:rPr>
          <w:rFonts w:ascii="Arial" w:hAnsi="Arial" w:cs="Arial"/>
          <w:sz w:val="22"/>
          <w:szCs w:val="22"/>
        </w:rPr>
        <w:t xml:space="preserve"> kao do sada najznačajniji kriterij kod raspodjele sredstava izjednači po značaju sa drugim kriterijima</w:t>
      </w:r>
      <w:r w:rsidR="00981A7A">
        <w:rPr>
          <w:rFonts w:ascii="Arial" w:hAnsi="Arial" w:cs="Arial"/>
          <w:sz w:val="22"/>
          <w:szCs w:val="22"/>
        </w:rPr>
        <w:t>,</w:t>
      </w:r>
      <w:r w:rsidR="00D645A4">
        <w:rPr>
          <w:rFonts w:ascii="Arial" w:hAnsi="Arial" w:cs="Arial"/>
          <w:sz w:val="22"/>
          <w:szCs w:val="22"/>
        </w:rPr>
        <w:t xml:space="preserve"> jer sredstva ne treba da se raspoređuju i da se njihova pripadnost određuje po stanovniku već prema ustavnim nadležnostima kantona </w:t>
      </w:r>
      <w:r w:rsidR="00D247BB">
        <w:rPr>
          <w:rFonts w:ascii="Arial" w:hAnsi="Arial" w:cs="Arial"/>
          <w:sz w:val="22"/>
          <w:szCs w:val="22"/>
        </w:rPr>
        <w:t>kako bi se omogućilo podjednako</w:t>
      </w:r>
      <w:r w:rsidR="00D645A4">
        <w:rPr>
          <w:rFonts w:ascii="Arial" w:hAnsi="Arial" w:cs="Arial"/>
          <w:sz w:val="22"/>
          <w:szCs w:val="22"/>
        </w:rPr>
        <w:t xml:space="preserve"> zadovoljenje potreba stanovništva</w:t>
      </w:r>
      <w:r w:rsidR="003477C6">
        <w:rPr>
          <w:rFonts w:ascii="Arial" w:hAnsi="Arial" w:cs="Arial"/>
          <w:sz w:val="22"/>
          <w:szCs w:val="22"/>
        </w:rPr>
        <w:t>,</w:t>
      </w:r>
      <w:r w:rsidR="00D645A4">
        <w:rPr>
          <w:rFonts w:ascii="Arial" w:hAnsi="Arial" w:cs="Arial"/>
          <w:sz w:val="22"/>
          <w:szCs w:val="22"/>
        </w:rPr>
        <w:t xml:space="preserve"> odnosno pružanje usluga stanovništvu u svi</w:t>
      </w:r>
      <w:r w:rsidR="00981A7A">
        <w:rPr>
          <w:rFonts w:ascii="Arial" w:hAnsi="Arial" w:cs="Arial"/>
          <w:sz w:val="22"/>
          <w:szCs w:val="22"/>
        </w:rPr>
        <w:t>m kantonima u Federaciji Bosne i</w:t>
      </w:r>
      <w:r w:rsidR="00D645A4">
        <w:rPr>
          <w:rFonts w:ascii="Arial" w:hAnsi="Arial" w:cs="Arial"/>
          <w:sz w:val="22"/>
          <w:szCs w:val="22"/>
        </w:rPr>
        <w:t xml:space="preserve"> Hercegovine</w:t>
      </w:r>
      <w:r w:rsidR="00981A7A">
        <w:rPr>
          <w:rFonts w:ascii="Arial" w:hAnsi="Arial" w:cs="Arial"/>
          <w:sz w:val="22"/>
          <w:szCs w:val="22"/>
        </w:rPr>
        <w:t>;</w:t>
      </w:r>
    </w:p>
    <w:p w:rsidR="003D5543" w:rsidRDefault="00D645A4" w:rsidP="00977027">
      <w:pPr>
        <w:pStyle w:val="Default"/>
        <w:spacing w:after="145" w:line="276" w:lineRule="auto"/>
        <w:jc w:val="both"/>
        <w:rPr>
          <w:rFonts w:ascii="Arial" w:hAnsi="Arial" w:cs="Arial"/>
          <w:sz w:val="22"/>
          <w:szCs w:val="22"/>
        </w:rPr>
      </w:pPr>
      <w:r>
        <w:rPr>
          <w:rFonts w:ascii="Arial" w:hAnsi="Arial" w:cs="Arial"/>
          <w:sz w:val="22"/>
          <w:szCs w:val="22"/>
        </w:rPr>
        <w:t xml:space="preserve">- da se zadrže ponderi gdje su isti opravdani </w:t>
      </w:r>
      <w:r w:rsidR="00D247BB">
        <w:rPr>
          <w:rFonts w:ascii="Arial" w:hAnsi="Arial" w:cs="Arial"/>
          <w:sz w:val="22"/>
          <w:szCs w:val="22"/>
        </w:rPr>
        <w:t>i to iz razloga</w:t>
      </w:r>
      <w:r w:rsidR="003477C6">
        <w:rPr>
          <w:rFonts w:ascii="Arial" w:hAnsi="Arial" w:cs="Arial"/>
          <w:sz w:val="22"/>
          <w:szCs w:val="22"/>
        </w:rPr>
        <w:t xml:space="preserve"> posl</w:t>
      </w:r>
      <w:r w:rsidR="003D5543">
        <w:rPr>
          <w:rFonts w:ascii="Arial" w:hAnsi="Arial" w:cs="Arial"/>
          <w:sz w:val="22"/>
          <w:szCs w:val="22"/>
        </w:rPr>
        <w:t>jedice koje je dosadašnja neadekvatna raspo</w:t>
      </w:r>
      <w:r w:rsidR="00981A7A">
        <w:rPr>
          <w:rFonts w:ascii="Arial" w:hAnsi="Arial" w:cs="Arial"/>
          <w:sz w:val="22"/>
          <w:szCs w:val="22"/>
        </w:rPr>
        <w:t>djela</w:t>
      </w:r>
      <w:r w:rsidR="003477C6">
        <w:rPr>
          <w:rFonts w:ascii="Arial" w:hAnsi="Arial" w:cs="Arial"/>
          <w:sz w:val="22"/>
          <w:szCs w:val="22"/>
        </w:rPr>
        <w:t>,</w:t>
      </w:r>
      <w:r w:rsidR="00981A7A">
        <w:rPr>
          <w:rFonts w:ascii="Arial" w:hAnsi="Arial" w:cs="Arial"/>
          <w:sz w:val="22"/>
          <w:szCs w:val="22"/>
        </w:rPr>
        <w:t xml:space="preserve"> posebno u period</w:t>
      </w:r>
      <w:r w:rsidR="003477C6">
        <w:rPr>
          <w:rFonts w:ascii="Arial" w:hAnsi="Arial" w:cs="Arial"/>
          <w:sz w:val="22"/>
          <w:szCs w:val="22"/>
        </w:rPr>
        <w:t>u</w:t>
      </w:r>
      <w:r w:rsidR="00981A7A">
        <w:rPr>
          <w:rFonts w:ascii="Arial" w:hAnsi="Arial" w:cs="Arial"/>
          <w:sz w:val="22"/>
          <w:szCs w:val="22"/>
        </w:rPr>
        <w:t xml:space="preserve"> do 2006.</w:t>
      </w:r>
      <w:r w:rsidR="003D5543">
        <w:rPr>
          <w:rFonts w:ascii="Arial" w:hAnsi="Arial" w:cs="Arial"/>
          <w:sz w:val="22"/>
          <w:szCs w:val="22"/>
        </w:rPr>
        <w:t>godine</w:t>
      </w:r>
      <w:r w:rsidR="00981A7A">
        <w:rPr>
          <w:rFonts w:ascii="Arial" w:hAnsi="Arial" w:cs="Arial"/>
          <w:sz w:val="22"/>
          <w:szCs w:val="22"/>
        </w:rPr>
        <w:t>,</w:t>
      </w:r>
      <w:r w:rsidR="003D5543">
        <w:rPr>
          <w:rFonts w:ascii="Arial" w:hAnsi="Arial" w:cs="Arial"/>
          <w:sz w:val="22"/>
          <w:szCs w:val="22"/>
        </w:rPr>
        <w:t xml:space="preserve"> imala </w:t>
      </w:r>
      <w:r>
        <w:rPr>
          <w:rFonts w:ascii="Arial" w:hAnsi="Arial" w:cs="Arial"/>
          <w:sz w:val="22"/>
          <w:szCs w:val="22"/>
        </w:rPr>
        <w:t>na infrastrukturu kao pretpostavku daljnjeg razvoja u određenim kantonima</w:t>
      </w:r>
      <w:r w:rsidR="003477C6">
        <w:rPr>
          <w:rFonts w:ascii="Arial" w:hAnsi="Arial" w:cs="Arial"/>
          <w:sz w:val="22"/>
          <w:szCs w:val="22"/>
        </w:rPr>
        <w:t>,</w:t>
      </w:r>
      <w:r>
        <w:rPr>
          <w:rFonts w:ascii="Arial" w:hAnsi="Arial" w:cs="Arial"/>
          <w:sz w:val="22"/>
          <w:szCs w:val="22"/>
        </w:rPr>
        <w:t xml:space="preserve"> kao i na same uslove života u pojedinim kantonima. </w:t>
      </w:r>
    </w:p>
    <w:p w:rsidR="00243657" w:rsidRDefault="00D645A4" w:rsidP="00977027">
      <w:pPr>
        <w:pStyle w:val="Default"/>
        <w:spacing w:after="145" w:line="276" w:lineRule="auto"/>
        <w:jc w:val="both"/>
        <w:rPr>
          <w:rFonts w:ascii="Arial" w:hAnsi="Arial" w:cs="Arial"/>
          <w:sz w:val="22"/>
          <w:szCs w:val="22"/>
        </w:rPr>
      </w:pPr>
      <w:r>
        <w:rPr>
          <w:rFonts w:ascii="Arial" w:hAnsi="Arial" w:cs="Arial"/>
          <w:sz w:val="22"/>
          <w:szCs w:val="22"/>
        </w:rPr>
        <w:t>P</w:t>
      </w:r>
      <w:r w:rsidR="00600D6E">
        <w:rPr>
          <w:rFonts w:ascii="Arial" w:hAnsi="Arial" w:cs="Arial"/>
          <w:sz w:val="22"/>
          <w:szCs w:val="22"/>
        </w:rPr>
        <w:t xml:space="preserve">rilikom određivanja kriterija </w:t>
      </w:r>
      <w:r w:rsidR="00D247BB">
        <w:rPr>
          <w:rFonts w:ascii="Arial" w:hAnsi="Arial" w:cs="Arial"/>
          <w:sz w:val="22"/>
          <w:szCs w:val="22"/>
        </w:rPr>
        <w:t xml:space="preserve">neophodno je </w:t>
      </w:r>
      <w:r w:rsidR="00600D6E">
        <w:rPr>
          <w:rFonts w:ascii="Arial" w:hAnsi="Arial" w:cs="Arial"/>
          <w:sz w:val="22"/>
          <w:szCs w:val="22"/>
        </w:rPr>
        <w:t xml:space="preserve">uvrstiti kriterije koji se odnose na izvršavanje ustavnih nadležnosti kantona </w:t>
      </w:r>
      <w:r>
        <w:rPr>
          <w:rFonts w:ascii="Arial" w:hAnsi="Arial" w:cs="Arial"/>
          <w:sz w:val="22"/>
          <w:szCs w:val="22"/>
        </w:rPr>
        <w:t xml:space="preserve">kako bi </w:t>
      </w:r>
      <w:r w:rsidR="00D247BB">
        <w:rPr>
          <w:rFonts w:ascii="Arial" w:hAnsi="Arial" w:cs="Arial"/>
          <w:sz w:val="22"/>
          <w:szCs w:val="22"/>
        </w:rPr>
        <w:t xml:space="preserve">svi </w:t>
      </w:r>
      <w:r>
        <w:rPr>
          <w:rFonts w:ascii="Arial" w:hAnsi="Arial" w:cs="Arial"/>
          <w:sz w:val="22"/>
          <w:szCs w:val="22"/>
        </w:rPr>
        <w:t>kantoni mogli izvršavati podjednako svoje ustavne nadležnosti</w:t>
      </w:r>
      <w:r w:rsidR="00981A7A">
        <w:rPr>
          <w:rFonts w:ascii="Arial" w:hAnsi="Arial" w:cs="Arial"/>
          <w:sz w:val="22"/>
          <w:szCs w:val="22"/>
        </w:rPr>
        <w:t>,</w:t>
      </w:r>
      <w:r>
        <w:rPr>
          <w:rFonts w:ascii="Arial" w:hAnsi="Arial" w:cs="Arial"/>
          <w:sz w:val="22"/>
          <w:szCs w:val="22"/>
        </w:rPr>
        <w:t xml:space="preserve"> jer će se na taj način </w:t>
      </w:r>
      <w:r w:rsidR="00600D6E">
        <w:rPr>
          <w:rFonts w:ascii="Arial" w:hAnsi="Arial" w:cs="Arial"/>
          <w:sz w:val="22"/>
          <w:szCs w:val="22"/>
        </w:rPr>
        <w:t xml:space="preserve">omogućiti </w:t>
      </w:r>
      <w:r>
        <w:rPr>
          <w:rFonts w:ascii="Arial" w:hAnsi="Arial" w:cs="Arial"/>
          <w:sz w:val="22"/>
          <w:szCs w:val="22"/>
        </w:rPr>
        <w:t>pravedna raspodjela između kantona</w:t>
      </w:r>
      <w:r w:rsidR="003477C6">
        <w:rPr>
          <w:rFonts w:ascii="Arial" w:hAnsi="Arial" w:cs="Arial"/>
          <w:sz w:val="22"/>
          <w:szCs w:val="22"/>
        </w:rPr>
        <w:t>,</w:t>
      </w:r>
      <w:r>
        <w:rPr>
          <w:rFonts w:ascii="Arial" w:hAnsi="Arial" w:cs="Arial"/>
          <w:sz w:val="22"/>
          <w:szCs w:val="22"/>
        </w:rPr>
        <w:t xml:space="preserve"> odnosno raspodjela na način </w:t>
      </w:r>
      <w:r w:rsidR="00600D6E">
        <w:rPr>
          <w:rFonts w:ascii="Arial" w:hAnsi="Arial" w:cs="Arial"/>
          <w:sz w:val="22"/>
          <w:szCs w:val="22"/>
        </w:rPr>
        <w:t xml:space="preserve">da </w:t>
      </w:r>
      <w:r>
        <w:rPr>
          <w:rFonts w:ascii="Arial" w:hAnsi="Arial" w:cs="Arial"/>
          <w:sz w:val="22"/>
          <w:szCs w:val="22"/>
        </w:rPr>
        <w:t xml:space="preserve">će </w:t>
      </w:r>
      <w:r w:rsidR="00600D6E">
        <w:rPr>
          <w:rFonts w:ascii="Arial" w:hAnsi="Arial" w:cs="Arial"/>
          <w:sz w:val="22"/>
          <w:szCs w:val="22"/>
        </w:rPr>
        <w:t xml:space="preserve">učešće </w:t>
      </w:r>
      <w:r>
        <w:rPr>
          <w:rFonts w:ascii="Arial" w:hAnsi="Arial" w:cs="Arial"/>
          <w:sz w:val="22"/>
          <w:szCs w:val="22"/>
        </w:rPr>
        <w:t>kantona</w:t>
      </w:r>
      <w:r w:rsidR="00600D6E">
        <w:rPr>
          <w:rFonts w:ascii="Arial" w:hAnsi="Arial" w:cs="Arial"/>
          <w:sz w:val="22"/>
          <w:szCs w:val="22"/>
        </w:rPr>
        <w:t xml:space="preserve"> zavisiti od njihovih potreba, odnosno zavisno od socijalno ekonomske strukture stanovništva </w:t>
      </w:r>
      <w:r w:rsidR="003D5543">
        <w:rPr>
          <w:rFonts w:ascii="Arial" w:hAnsi="Arial" w:cs="Arial"/>
          <w:sz w:val="22"/>
          <w:szCs w:val="22"/>
        </w:rPr>
        <w:t>i infra</w:t>
      </w:r>
      <w:r w:rsidR="003477C6">
        <w:rPr>
          <w:rFonts w:ascii="Arial" w:hAnsi="Arial" w:cs="Arial"/>
          <w:sz w:val="22"/>
          <w:szCs w:val="22"/>
        </w:rPr>
        <w:t>s</w:t>
      </w:r>
      <w:r w:rsidR="003D5543">
        <w:rPr>
          <w:rFonts w:ascii="Arial" w:hAnsi="Arial" w:cs="Arial"/>
          <w:sz w:val="22"/>
          <w:szCs w:val="22"/>
        </w:rPr>
        <w:t xml:space="preserve">trukturalnih potreba </w:t>
      </w:r>
      <w:r w:rsidR="00600D6E">
        <w:rPr>
          <w:rFonts w:ascii="Arial" w:hAnsi="Arial" w:cs="Arial"/>
          <w:sz w:val="22"/>
          <w:szCs w:val="22"/>
        </w:rPr>
        <w:t>a ne samo zavisno od površine, broja stanovnika i broja učenika.</w:t>
      </w:r>
      <w:r w:rsidR="00FD612B">
        <w:rPr>
          <w:rFonts w:ascii="Arial" w:hAnsi="Arial" w:cs="Arial"/>
          <w:sz w:val="22"/>
          <w:szCs w:val="22"/>
        </w:rPr>
        <w:t xml:space="preserve"> Takođe se pokazuje potrebnim, opravdanim i cjelishodnim na neki način uvrstiti u kriterije raspodjele javnih prihoda pomenuti odnos uvoza i izvoza.</w:t>
      </w:r>
    </w:p>
    <w:p w:rsidR="001D3FE9" w:rsidRDefault="00243657" w:rsidP="00977027">
      <w:pPr>
        <w:pStyle w:val="Default"/>
        <w:spacing w:after="145" w:line="276" w:lineRule="auto"/>
        <w:jc w:val="both"/>
        <w:rPr>
          <w:rFonts w:ascii="Arial" w:hAnsi="Arial" w:cs="Arial"/>
          <w:sz w:val="22"/>
          <w:szCs w:val="22"/>
        </w:rPr>
      </w:pPr>
      <w:r w:rsidRPr="00243657">
        <w:rPr>
          <w:rFonts w:ascii="Arial" w:hAnsi="Arial" w:cs="Arial"/>
          <w:sz w:val="22"/>
          <w:szCs w:val="22"/>
        </w:rPr>
        <w:t xml:space="preserve">3. </w:t>
      </w:r>
      <w:r w:rsidR="001D3FE9" w:rsidRPr="00243657">
        <w:rPr>
          <w:rFonts w:ascii="Arial" w:hAnsi="Arial" w:cs="Arial"/>
          <w:sz w:val="22"/>
          <w:szCs w:val="22"/>
        </w:rPr>
        <w:t>Raspodjelom javnih prihoda od indirektnih poreza</w:t>
      </w:r>
      <w:r w:rsidR="003477C6">
        <w:rPr>
          <w:rFonts w:ascii="Arial" w:hAnsi="Arial" w:cs="Arial"/>
          <w:sz w:val="22"/>
          <w:szCs w:val="22"/>
        </w:rPr>
        <w:t>,</w:t>
      </w:r>
      <w:r w:rsidR="001D3FE9" w:rsidRPr="00243657">
        <w:rPr>
          <w:rFonts w:ascii="Arial" w:hAnsi="Arial" w:cs="Arial"/>
          <w:sz w:val="22"/>
          <w:szCs w:val="22"/>
        </w:rPr>
        <w:t xml:space="preserve"> uz </w:t>
      </w:r>
      <w:r w:rsidR="001D3FE9">
        <w:rPr>
          <w:rFonts w:ascii="Arial" w:hAnsi="Arial" w:cs="Arial"/>
          <w:sz w:val="22"/>
          <w:szCs w:val="22"/>
        </w:rPr>
        <w:t>uvođenje novih kriterija</w:t>
      </w:r>
      <w:r w:rsidR="003477C6">
        <w:rPr>
          <w:rFonts w:ascii="Arial" w:hAnsi="Arial" w:cs="Arial"/>
          <w:sz w:val="22"/>
          <w:szCs w:val="22"/>
        </w:rPr>
        <w:t>,</w:t>
      </w:r>
      <w:r w:rsidR="00600D6E">
        <w:rPr>
          <w:rFonts w:ascii="Arial" w:hAnsi="Arial" w:cs="Arial"/>
          <w:sz w:val="22"/>
          <w:szCs w:val="22"/>
        </w:rPr>
        <w:t xml:space="preserve"> na način da se osigura</w:t>
      </w:r>
      <w:r w:rsidR="001D3FE9" w:rsidRPr="00243657">
        <w:rPr>
          <w:rFonts w:ascii="Arial" w:hAnsi="Arial" w:cs="Arial"/>
          <w:sz w:val="22"/>
          <w:szCs w:val="22"/>
        </w:rPr>
        <w:t xml:space="preserve"> ravnopravnija raspodjela navedenih prihoda</w:t>
      </w:r>
      <w:r w:rsidR="001D3FE9">
        <w:rPr>
          <w:rFonts w:ascii="Arial" w:hAnsi="Arial" w:cs="Arial"/>
          <w:sz w:val="22"/>
          <w:szCs w:val="22"/>
        </w:rPr>
        <w:t xml:space="preserve"> u skladu sa potrebama stanovništva određenih kantona </w:t>
      </w:r>
      <w:r w:rsidR="00600D6E">
        <w:rPr>
          <w:rFonts w:ascii="Arial" w:hAnsi="Arial" w:cs="Arial"/>
          <w:sz w:val="22"/>
          <w:szCs w:val="22"/>
        </w:rPr>
        <w:t>kako</w:t>
      </w:r>
      <w:r w:rsidR="0021377D">
        <w:rPr>
          <w:rFonts w:ascii="Arial" w:hAnsi="Arial" w:cs="Arial"/>
          <w:sz w:val="22"/>
          <w:szCs w:val="22"/>
        </w:rPr>
        <w:t xml:space="preserve"> bi svi građani Federacije Bosne i Hercegovine bez obzira u kojem kantonu žive imali podjednaka prava.</w:t>
      </w:r>
    </w:p>
    <w:p w:rsidR="00600D6E" w:rsidRDefault="00600D6E" w:rsidP="00977027">
      <w:pPr>
        <w:pStyle w:val="Default"/>
        <w:spacing w:after="145" w:line="276" w:lineRule="auto"/>
        <w:jc w:val="both"/>
        <w:rPr>
          <w:rFonts w:ascii="Arial" w:hAnsi="Arial" w:cs="Arial"/>
          <w:sz w:val="22"/>
          <w:szCs w:val="22"/>
        </w:rPr>
      </w:pPr>
      <w:r>
        <w:rPr>
          <w:rFonts w:ascii="Arial" w:hAnsi="Arial" w:cs="Arial"/>
          <w:sz w:val="22"/>
          <w:szCs w:val="22"/>
        </w:rPr>
        <w:t xml:space="preserve">Navedeno je neophodno obzirom da je </w:t>
      </w:r>
      <w:r w:rsidRPr="00243657">
        <w:rPr>
          <w:rFonts w:ascii="Arial" w:hAnsi="Arial" w:cs="Arial"/>
          <w:sz w:val="22"/>
          <w:szCs w:val="22"/>
        </w:rPr>
        <w:t>Ustavom Federacije Bosne i Hercegovine propisano je da će Federacija osigurati primjenu najviših standarda međunarodno priznatih prava i sloboda, a između ostalog pravo na jednakost pred zakonom</w:t>
      </w:r>
      <w:r>
        <w:rPr>
          <w:rFonts w:ascii="Arial" w:hAnsi="Arial" w:cs="Arial"/>
          <w:sz w:val="22"/>
          <w:szCs w:val="22"/>
        </w:rPr>
        <w:t xml:space="preserve">. Tako bi odredbe važećeg </w:t>
      </w:r>
      <w:r w:rsidRPr="00243657">
        <w:rPr>
          <w:rFonts w:ascii="Arial" w:hAnsi="Arial" w:cs="Arial"/>
          <w:sz w:val="22"/>
          <w:szCs w:val="22"/>
        </w:rPr>
        <w:t xml:space="preserve">Zakona o pripadnosti javnih </w:t>
      </w:r>
      <w:r w:rsidRPr="00243657">
        <w:rPr>
          <w:rFonts w:ascii="Arial" w:hAnsi="Arial" w:cs="Arial"/>
          <w:sz w:val="22"/>
          <w:szCs w:val="22"/>
        </w:rPr>
        <w:lastRenderedPageBreak/>
        <w:t xml:space="preserve">prihoda u Federaciji BiH po </w:t>
      </w:r>
      <w:r>
        <w:rPr>
          <w:rFonts w:ascii="Arial" w:hAnsi="Arial" w:cs="Arial"/>
          <w:sz w:val="22"/>
          <w:szCs w:val="22"/>
        </w:rPr>
        <w:t>Bosansko-podrinjski kanton Goražde i druge kantone koji imaju posebne rashodovne potrebe</w:t>
      </w:r>
      <w:r w:rsidR="003477C6">
        <w:rPr>
          <w:rFonts w:ascii="Arial" w:hAnsi="Arial" w:cs="Arial"/>
          <w:sz w:val="22"/>
          <w:szCs w:val="22"/>
        </w:rPr>
        <w:t>,</w:t>
      </w:r>
      <w:r>
        <w:rPr>
          <w:rFonts w:ascii="Arial" w:hAnsi="Arial" w:cs="Arial"/>
          <w:sz w:val="22"/>
          <w:szCs w:val="22"/>
        </w:rPr>
        <w:t xml:space="preserve"> prije svega zbog socijalno-ekonomske strukture stanovništva</w:t>
      </w:r>
      <w:r w:rsidR="003477C6">
        <w:rPr>
          <w:rFonts w:ascii="Arial" w:hAnsi="Arial" w:cs="Arial"/>
          <w:sz w:val="22"/>
          <w:szCs w:val="22"/>
        </w:rPr>
        <w:t>,</w:t>
      </w:r>
      <w:r>
        <w:rPr>
          <w:rFonts w:ascii="Arial" w:hAnsi="Arial" w:cs="Arial"/>
          <w:sz w:val="22"/>
          <w:szCs w:val="22"/>
        </w:rPr>
        <w:t xml:space="preserve"> bile diskriminirajuće da istima</w:t>
      </w:r>
      <w:r w:rsidRPr="00243657">
        <w:rPr>
          <w:rFonts w:ascii="Arial" w:hAnsi="Arial" w:cs="Arial"/>
          <w:sz w:val="22"/>
          <w:szCs w:val="22"/>
        </w:rPr>
        <w:t xml:space="preserve"> nisu dodijeljeni </w:t>
      </w:r>
      <w:r w:rsidR="00D247BB">
        <w:rPr>
          <w:rFonts w:ascii="Arial" w:hAnsi="Arial" w:cs="Arial"/>
          <w:sz w:val="22"/>
          <w:szCs w:val="22"/>
        </w:rPr>
        <w:t xml:space="preserve">ponderi. Naime </w:t>
      </w:r>
      <w:r w:rsidR="00981A7A">
        <w:rPr>
          <w:rFonts w:ascii="Arial" w:hAnsi="Arial" w:cs="Arial"/>
          <w:sz w:val="22"/>
          <w:szCs w:val="22"/>
        </w:rPr>
        <w:t xml:space="preserve">da </w:t>
      </w:r>
      <w:r>
        <w:rPr>
          <w:rFonts w:ascii="Arial" w:hAnsi="Arial" w:cs="Arial"/>
          <w:sz w:val="22"/>
          <w:szCs w:val="22"/>
        </w:rPr>
        <w:t>ti</w:t>
      </w:r>
      <w:r w:rsidR="00981A7A">
        <w:rPr>
          <w:rFonts w:ascii="Arial" w:hAnsi="Arial" w:cs="Arial"/>
          <w:sz w:val="22"/>
          <w:szCs w:val="22"/>
        </w:rPr>
        <w:t>m</w:t>
      </w:r>
      <w:r>
        <w:rPr>
          <w:rFonts w:ascii="Arial" w:hAnsi="Arial" w:cs="Arial"/>
          <w:sz w:val="22"/>
          <w:szCs w:val="22"/>
        </w:rPr>
        <w:t xml:space="preserve"> kantoni</w:t>
      </w:r>
      <w:r w:rsidR="00981A7A">
        <w:rPr>
          <w:rFonts w:ascii="Arial" w:hAnsi="Arial" w:cs="Arial"/>
          <w:sz w:val="22"/>
          <w:szCs w:val="22"/>
        </w:rPr>
        <w:t>ma</w:t>
      </w:r>
      <w:r>
        <w:rPr>
          <w:rFonts w:ascii="Arial" w:hAnsi="Arial" w:cs="Arial"/>
          <w:sz w:val="22"/>
          <w:szCs w:val="22"/>
        </w:rPr>
        <w:t xml:space="preserve"> </w:t>
      </w:r>
      <w:r w:rsidR="00D247BB">
        <w:rPr>
          <w:rFonts w:ascii="Arial" w:hAnsi="Arial" w:cs="Arial"/>
          <w:sz w:val="22"/>
          <w:szCs w:val="22"/>
        </w:rPr>
        <w:t>nisu dod</w:t>
      </w:r>
      <w:r w:rsidR="003477C6">
        <w:rPr>
          <w:rFonts w:ascii="Arial" w:hAnsi="Arial" w:cs="Arial"/>
          <w:sz w:val="22"/>
          <w:szCs w:val="22"/>
        </w:rPr>
        <w:t>i</w:t>
      </w:r>
      <w:r w:rsidR="00D247BB">
        <w:rPr>
          <w:rFonts w:ascii="Arial" w:hAnsi="Arial" w:cs="Arial"/>
          <w:sz w:val="22"/>
          <w:szCs w:val="22"/>
        </w:rPr>
        <w:t xml:space="preserve">jeljeni ponderi </w:t>
      </w:r>
      <w:r w:rsidR="00981A7A">
        <w:rPr>
          <w:rFonts w:ascii="Arial" w:hAnsi="Arial" w:cs="Arial"/>
          <w:sz w:val="22"/>
          <w:szCs w:val="22"/>
        </w:rPr>
        <w:t xml:space="preserve">isti </w:t>
      </w:r>
      <w:r>
        <w:rPr>
          <w:rFonts w:ascii="Arial" w:hAnsi="Arial" w:cs="Arial"/>
          <w:sz w:val="22"/>
          <w:szCs w:val="22"/>
        </w:rPr>
        <w:t>ne bi bili u mogućnosti da izvršavaju svoje ustavne nadležnosti</w:t>
      </w:r>
      <w:r w:rsidR="003477C6">
        <w:rPr>
          <w:rFonts w:ascii="Arial" w:hAnsi="Arial" w:cs="Arial"/>
          <w:sz w:val="22"/>
          <w:szCs w:val="22"/>
        </w:rPr>
        <w:t>,</w:t>
      </w:r>
      <w:r>
        <w:rPr>
          <w:rFonts w:ascii="Arial" w:hAnsi="Arial" w:cs="Arial"/>
          <w:sz w:val="22"/>
          <w:szCs w:val="22"/>
        </w:rPr>
        <w:t xml:space="preserve"> odnosno ne bi bili u mogućnosti da pruže socijalnu i zdravstvenu zaštitu svojim stanovnicima ni približno na onom nivou na kojem bi to bili drugi kantoni koji nemaju posebne rashodovne potrebe. </w:t>
      </w:r>
    </w:p>
    <w:p w:rsidR="00D247BB" w:rsidRDefault="00243657" w:rsidP="00977027">
      <w:pPr>
        <w:pStyle w:val="Default"/>
        <w:spacing w:after="145" w:line="276" w:lineRule="auto"/>
        <w:jc w:val="both"/>
        <w:rPr>
          <w:rFonts w:ascii="Arial" w:hAnsi="Arial" w:cs="Arial"/>
          <w:sz w:val="22"/>
          <w:szCs w:val="22"/>
        </w:rPr>
      </w:pPr>
      <w:r w:rsidRPr="00243657">
        <w:rPr>
          <w:rFonts w:ascii="Arial" w:hAnsi="Arial" w:cs="Arial"/>
          <w:sz w:val="22"/>
          <w:szCs w:val="22"/>
        </w:rPr>
        <w:t>4.</w:t>
      </w:r>
      <w:r w:rsidR="001D3FE9">
        <w:rPr>
          <w:rFonts w:ascii="Arial" w:hAnsi="Arial" w:cs="Arial"/>
          <w:sz w:val="22"/>
          <w:szCs w:val="22"/>
        </w:rPr>
        <w:t xml:space="preserve"> </w:t>
      </w:r>
      <w:r w:rsidRPr="001D3FE9">
        <w:rPr>
          <w:rFonts w:ascii="Arial" w:hAnsi="Arial" w:cs="Arial"/>
          <w:sz w:val="22"/>
          <w:szCs w:val="22"/>
        </w:rPr>
        <w:t>Imajući u vidu značaj Inicijative za izmjenu Zakona o pripadnosti javnih prihoda u Federaciji Bosne i Hercegovine („Službene novine FBiH“, br. 22/06, 43/08, 22/09 i 18</w:t>
      </w:r>
      <w:r w:rsidR="00A27B12" w:rsidRPr="001D3FE9">
        <w:rPr>
          <w:rFonts w:ascii="Arial" w:hAnsi="Arial" w:cs="Arial"/>
          <w:sz w:val="22"/>
          <w:szCs w:val="22"/>
        </w:rPr>
        <w:t xml:space="preserve"> </w:t>
      </w:r>
      <w:r w:rsidRPr="001D3FE9">
        <w:rPr>
          <w:rFonts w:ascii="Arial" w:hAnsi="Arial" w:cs="Arial"/>
          <w:sz w:val="22"/>
          <w:szCs w:val="22"/>
        </w:rPr>
        <w:t>35/14), na način da se u</w:t>
      </w:r>
      <w:r w:rsidR="001D3FE9">
        <w:rPr>
          <w:rFonts w:ascii="Arial" w:hAnsi="Arial" w:cs="Arial"/>
          <w:sz w:val="22"/>
          <w:szCs w:val="22"/>
        </w:rPr>
        <w:t>vedu novi kriteriji za raspodjelu</w:t>
      </w:r>
      <w:r w:rsidR="00D247BB">
        <w:rPr>
          <w:rFonts w:ascii="Arial" w:hAnsi="Arial" w:cs="Arial"/>
          <w:sz w:val="22"/>
          <w:szCs w:val="22"/>
        </w:rPr>
        <w:t xml:space="preserve"> kao i da se izmjeni udio učešća postojećih u raspodjeli </w:t>
      </w:r>
      <w:r w:rsidRPr="001D3FE9">
        <w:rPr>
          <w:rFonts w:ascii="Arial" w:hAnsi="Arial" w:cs="Arial"/>
          <w:sz w:val="22"/>
          <w:szCs w:val="22"/>
        </w:rPr>
        <w:t xml:space="preserve">bi omogućilo ravnopravniju raspodjelu javnih prihoda od </w:t>
      </w:r>
      <w:r w:rsidR="00D247BB">
        <w:rPr>
          <w:rFonts w:ascii="Arial" w:hAnsi="Arial" w:cs="Arial"/>
          <w:sz w:val="22"/>
          <w:szCs w:val="22"/>
        </w:rPr>
        <w:t>indirektnih poreza po kantonima, te se p</w:t>
      </w:r>
      <w:r w:rsidRPr="001D3FE9">
        <w:rPr>
          <w:rFonts w:ascii="Arial" w:hAnsi="Arial" w:cs="Arial"/>
          <w:sz w:val="22"/>
          <w:szCs w:val="22"/>
        </w:rPr>
        <w:t xml:space="preserve">reporučuje da se navedena Inicijativa sa </w:t>
      </w:r>
      <w:r w:rsidR="001D3FE9">
        <w:rPr>
          <w:rFonts w:ascii="Arial" w:hAnsi="Arial" w:cs="Arial"/>
          <w:sz w:val="22"/>
          <w:szCs w:val="22"/>
        </w:rPr>
        <w:t>Analizom</w:t>
      </w:r>
      <w:r w:rsidR="006F0887">
        <w:rPr>
          <w:rFonts w:ascii="Arial" w:hAnsi="Arial" w:cs="Arial"/>
          <w:sz w:val="22"/>
          <w:szCs w:val="22"/>
        </w:rPr>
        <w:t xml:space="preserve"> raspodjele</w:t>
      </w:r>
      <w:r w:rsidRPr="001D3FE9">
        <w:rPr>
          <w:rFonts w:ascii="Arial" w:hAnsi="Arial" w:cs="Arial"/>
          <w:sz w:val="22"/>
          <w:szCs w:val="22"/>
        </w:rPr>
        <w:t xml:space="preserve"> javnih prihoda od indirektnih poreza po kantonima u Federaciji BiH u s</w:t>
      </w:r>
      <w:r w:rsidR="001D3FE9">
        <w:rPr>
          <w:rFonts w:ascii="Arial" w:hAnsi="Arial" w:cs="Arial"/>
          <w:sz w:val="22"/>
          <w:szCs w:val="22"/>
        </w:rPr>
        <w:t>kladu sa postojećim kriterijima, sa i bez pondera</w:t>
      </w:r>
      <w:r w:rsidRPr="001D3FE9">
        <w:rPr>
          <w:rFonts w:ascii="Arial" w:hAnsi="Arial" w:cs="Arial"/>
          <w:sz w:val="22"/>
          <w:szCs w:val="22"/>
        </w:rPr>
        <w:t xml:space="preserve">, </w:t>
      </w:r>
      <w:r w:rsidR="001D3FE9">
        <w:rPr>
          <w:rFonts w:ascii="Arial" w:hAnsi="Arial" w:cs="Arial"/>
          <w:sz w:val="22"/>
          <w:szCs w:val="22"/>
        </w:rPr>
        <w:t>koja ukazuje na neophodnost zadržavanja pondera do uvođenja dodatnih kriterija za raspodjelu</w:t>
      </w:r>
      <w:r w:rsidRPr="001D3FE9">
        <w:rPr>
          <w:rFonts w:ascii="Arial" w:hAnsi="Arial" w:cs="Arial"/>
          <w:sz w:val="22"/>
          <w:szCs w:val="22"/>
        </w:rPr>
        <w:t xml:space="preserve"> dostavi Vladi </w:t>
      </w:r>
      <w:r w:rsidR="00A95A86">
        <w:rPr>
          <w:rFonts w:ascii="Arial" w:hAnsi="Arial" w:cs="Arial"/>
          <w:sz w:val="22"/>
          <w:szCs w:val="22"/>
        </w:rPr>
        <w:t>i</w:t>
      </w:r>
      <w:r w:rsidR="001D3FE9">
        <w:rPr>
          <w:rFonts w:ascii="Arial" w:hAnsi="Arial" w:cs="Arial"/>
          <w:sz w:val="22"/>
          <w:szCs w:val="22"/>
        </w:rPr>
        <w:t xml:space="preserve"> Skupštini Bosansko-podrinjskog kantona Goražde</w:t>
      </w:r>
      <w:r w:rsidRPr="001D3FE9">
        <w:rPr>
          <w:rFonts w:ascii="Arial" w:hAnsi="Arial" w:cs="Arial"/>
          <w:sz w:val="22"/>
          <w:szCs w:val="22"/>
        </w:rPr>
        <w:t xml:space="preserve"> na razmatranje i usvajanje, te nakon usvajanja od strane Vlade Kantona, dostavi nadležnim Federalnim organima, zastupnicima u Parlamentu F</w:t>
      </w:r>
      <w:r w:rsidR="003477C6">
        <w:rPr>
          <w:rFonts w:ascii="Arial" w:hAnsi="Arial" w:cs="Arial"/>
          <w:sz w:val="22"/>
          <w:szCs w:val="22"/>
        </w:rPr>
        <w:t>ederacije Bosne i Hercegovine s</w:t>
      </w:r>
      <w:r w:rsidRPr="001D3FE9">
        <w:rPr>
          <w:rFonts w:ascii="Arial" w:hAnsi="Arial" w:cs="Arial"/>
          <w:sz w:val="22"/>
          <w:szCs w:val="22"/>
        </w:rPr>
        <w:t xml:space="preserve"> područja </w:t>
      </w:r>
      <w:r w:rsidR="001D3FE9">
        <w:rPr>
          <w:rFonts w:ascii="Arial" w:hAnsi="Arial" w:cs="Arial"/>
          <w:sz w:val="22"/>
          <w:szCs w:val="22"/>
        </w:rPr>
        <w:t>Bosansko-podrinjskog kantona Goražde</w:t>
      </w:r>
      <w:r w:rsidRPr="001D3FE9">
        <w:rPr>
          <w:rFonts w:ascii="Arial" w:hAnsi="Arial" w:cs="Arial"/>
          <w:sz w:val="22"/>
          <w:szCs w:val="22"/>
        </w:rPr>
        <w:t xml:space="preserve">, Uredu visokog predstavnika za Bosnu i Hercegovinu i klubovima poslanika u Skupštini </w:t>
      </w:r>
      <w:r w:rsidR="00A95A86">
        <w:rPr>
          <w:rFonts w:ascii="Arial" w:hAnsi="Arial" w:cs="Arial"/>
          <w:sz w:val="22"/>
          <w:szCs w:val="22"/>
        </w:rPr>
        <w:t>Bosansko-podrinjskog kantona Goražde</w:t>
      </w:r>
      <w:r w:rsidRPr="001D3FE9">
        <w:rPr>
          <w:rFonts w:ascii="Arial" w:hAnsi="Arial" w:cs="Arial"/>
          <w:sz w:val="22"/>
          <w:szCs w:val="22"/>
        </w:rPr>
        <w:t>.</w:t>
      </w:r>
      <w:r w:rsidR="00A95A86">
        <w:rPr>
          <w:rFonts w:ascii="Arial" w:hAnsi="Arial" w:cs="Arial"/>
          <w:sz w:val="22"/>
          <w:szCs w:val="22"/>
        </w:rPr>
        <w:t xml:space="preserve"> </w:t>
      </w:r>
    </w:p>
    <w:p w:rsidR="00D80D6D" w:rsidRPr="00A95A86" w:rsidRDefault="00A95A86" w:rsidP="00977027">
      <w:pPr>
        <w:pStyle w:val="Default"/>
        <w:spacing w:after="145" w:line="276" w:lineRule="auto"/>
        <w:jc w:val="both"/>
        <w:rPr>
          <w:rFonts w:ascii="Arial" w:hAnsi="Arial" w:cs="Arial"/>
          <w:b/>
          <w:sz w:val="22"/>
          <w:szCs w:val="22"/>
        </w:rPr>
      </w:pPr>
      <w:r>
        <w:rPr>
          <w:rFonts w:ascii="Arial" w:hAnsi="Arial" w:cs="Arial"/>
          <w:sz w:val="22"/>
          <w:szCs w:val="22"/>
        </w:rPr>
        <w:t>Pored toga</w:t>
      </w:r>
      <w:r w:rsidR="003477C6">
        <w:rPr>
          <w:rFonts w:ascii="Arial" w:hAnsi="Arial" w:cs="Arial"/>
          <w:sz w:val="22"/>
          <w:szCs w:val="22"/>
        </w:rPr>
        <w:t>,</w:t>
      </w:r>
      <w:r>
        <w:rPr>
          <w:rFonts w:ascii="Arial" w:hAnsi="Arial" w:cs="Arial"/>
          <w:sz w:val="22"/>
          <w:szCs w:val="22"/>
        </w:rPr>
        <w:t xml:space="preserve"> sm</w:t>
      </w:r>
      <w:r w:rsidR="00981A7A">
        <w:rPr>
          <w:rFonts w:ascii="Arial" w:hAnsi="Arial" w:cs="Arial"/>
          <w:sz w:val="22"/>
          <w:szCs w:val="22"/>
        </w:rPr>
        <w:t>a</w:t>
      </w:r>
      <w:r>
        <w:rPr>
          <w:rFonts w:ascii="Arial" w:hAnsi="Arial" w:cs="Arial"/>
          <w:sz w:val="22"/>
          <w:szCs w:val="22"/>
        </w:rPr>
        <w:t>tramo da je ovu analizu potrebno dostaviti i svim drugim kantonima</w:t>
      </w:r>
      <w:r w:rsidR="003477C6">
        <w:rPr>
          <w:rFonts w:ascii="Arial" w:hAnsi="Arial" w:cs="Arial"/>
          <w:sz w:val="22"/>
          <w:szCs w:val="22"/>
        </w:rPr>
        <w:t>,</w:t>
      </w:r>
      <w:r>
        <w:rPr>
          <w:rFonts w:ascii="Arial" w:hAnsi="Arial" w:cs="Arial"/>
          <w:sz w:val="22"/>
          <w:szCs w:val="22"/>
        </w:rPr>
        <w:t xml:space="preserve"> a posebno onim kantonima koji su već inicirali izmjene Zakona o pripadnosti javnih prihoda u Federaciji Bosne i Hercegovine</w:t>
      </w:r>
      <w:r w:rsidRPr="00243657">
        <w:rPr>
          <w:rFonts w:ascii="Arial" w:hAnsi="Arial" w:cs="Arial"/>
          <w:sz w:val="22"/>
          <w:szCs w:val="22"/>
        </w:rPr>
        <w:t xml:space="preserve"> </w:t>
      </w:r>
      <w:r>
        <w:rPr>
          <w:rFonts w:ascii="Arial" w:hAnsi="Arial" w:cs="Arial"/>
          <w:sz w:val="22"/>
          <w:szCs w:val="22"/>
        </w:rPr>
        <w:t xml:space="preserve">u kojima se traži da se raspodjela vrši bez uvažavanja </w:t>
      </w:r>
      <w:r w:rsidR="00D247BB">
        <w:rPr>
          <w:rFonts w:ascii="Arial" w:hAnsi="Arial" w:cs="Arial"/>
          <w:sz w:val="22"/>
          <w:szCs w:val="22"/>
        </w:rPr>
        <w:t xml:space="preserve">infrastrukturalnih potreba, </w:t>
      </w:r>
      <w:r w:rsidR="00981A7A">
        <w:rPr>
          <w:rFonts w:ascii="Arial" w:hAnsi="Arial" w:cs="Arial"/>
          <w:sz w:val="22"/>
          <w:szCs w:val="22"/>
        </w:rPr>
        <w:t>socijalno-zdravstvene stru</w:t>
      </w:r>
      <w:r w:rsidR="003477C6">
        <w:rPr>
          <w:rFonts w:ascii="Arial" w:hAnsi="Arial" w:cs="Arial"/>
          <w:sz w:val="22"/>
          <w:szCs w:val="22"/>
        </w:rPr>
        <w:t>k</w:t>
      </w:r>
      <w:r w:rsidR="00981A7A">
        <w:rPr>
          <w:rFonts w:ascii="Arial" w:hAnsi="Arial" w:cs="Arial"/>
          <w:sz w:val="22"/>
          <w:szCs w:val="22"/>
        </w:rPr>
        <w:t xml:space="preserve">ture </w:t>
      </w:r>
      <w:r>
        <w:rPr>
          <w:rFonts w:ascii="Arial" w:hAnsi="Arial" w:cs="Arial"/>
          <w:sz w:val="22"/>
          <w:szCs w:val="22"/>
        </w:rPr>
        <w:t>stanovništva</w:t>
      </w:r>
      <w:r w:rsidR="00981A7A">
        <w:rPr>
          <w:rFonts w:ascii="Arial" w:hAnsi="Arial" w:cs="Arial"/>
          <w:sz w:val="22"/>
          <w:szCs w:val="22"/>
        </w:rPr>
        <w:t>,</w:t>
      </w:r>
      <w:r>
        <w:rPr>
          <w:rFonts w:ascii="Arial" w:hAnsi="Arial" w:cs="Arial"/>
          <w:sz w:val="22"/>
          <w:szCs w:val="22"/>
        </w:rPr>
        <w:t xml:space="preserve"> odnosno bez uvažavanja ustavnih nadležnosti kantona</w:t>
      </w:r>
      <w:r w:rsidR="00981A7A">
        <w:rPr>
          <w:rFonts w:ascii="Arial" w:hAnsi="Arial" w:cs="Arial"/>
          <w:sz w:val="22"/>
          <w:szCs w:val="22"/>
        </w:rPr>
        <w:t>,</w:t>
      </w:r>
      <w:r>
        <w:rPr>
          <w:rFonts w:ascii="Arial" w:hAnsi="Arial" w:cs="Arial"/>
          <w:sz w:val="22"/>
          <w:szCs w:val="22"/>
        </w:rPr>
        <w:t xml:space="preserve"> iako se zbog izvršavanja istih i vrši raspodjela prihoda. Takvi prijedlozi odnosno inicijative su neustavni, diskriminirajući te onemogućavaju građane u ostvarivanju ustavom zagarantovanih prava i sloboda</w:t>
      </w:r>
    </w:p>
    <w:p w:rsidR="00A95A86" w:rsidRDefault="00A95A86" w:rsidP="008C3988">
      <w:pPr>
        <w:jc w:val="both"/>
        <w:rPr>
          <w:rFonts w:ascii="Arial" w:hAnsi="Arial" w:cs="Arial"/>
          <w:b/>
        </w:rPr>
      </w:pPr>
    </w:p>
    <w:p w:rsidR="00977027" w:rsidRDefault="00977027" w:rsidP="008C3988">
      <w:pPr>
        <w:jc w:val="both"/>
        <w:rPr>
          <w:rFonts w:ascii="Arial" w:hAnsi="Arial" w:cs="Arial"/>
          <w:b/>
        </w:rPr>
      </w:pPr>
    </w:p>
    <w:p w:rsidR="00977027" w:rsidRDefault="00977027" w:rsidP="008C3988">
      <w:pPr>
        <w:jc w:val="both"/>
        <w:rPr>
          <w:rFonts w:ascii="Arial" w:hAnsi="Arial" w:cs="Arial"/>
          <w:b/>
        </w:rPr>
      </w:pPr>
    </w:p>
    <w:p w:rsidR="00977027" w:rsidRDefault="00977027" w:rsidP="008C3988">
      <w:pPr>
        <w:jc w:val="both"/>
        <w:rPr>
          <w:rFonts w:ascii="Arial" w:hAnsi="Arial" w:cs="Arial"/>
          <w:b/>
        </w:rPr>
      </w:pPr>
    </w:p>
    <w:p w:rsidR="00977027" w:rsidRDefault="00977027" w:rsidP="008C3988">
      <w:pPr>
        <w:jc w:val="both"/>
        <w:rPr>
          <w:rFonts w:ascii="Arial" w:hAnsi="Arial" w:cs="Arial"/>
          <w:b/>
        </w:rPr>
      </w:pPr>
    </w:p>
    <w:p w:rsidR="00977027" w:rsidRDefault="00977027" w:rsidP="008C3988">
      <w:pPr>
        <w:jc w:val="both"/>
        <w:rPr>
          <w:rFonts w:ascii="Arial" w:hAnsi="Arial" w:cs="Arial"/>
          <w:b/>
        </w:rPr>
      </w:pPr>
    </w:p>
    <w:p w:rsidR="000A5E04" w:rsidRDefault="000A5E04" w:rsidP="008C3988">
      <w:pPr>
        <w:jc w:val="both"/>
        <w:rPr>
          <w:rFonts w:ascii="Arial" w:hAnsi="Arial" w:cs="Arial"/>
          <w:b/>
        </w:rPr>
      </w:pPr>
    </w:p>
    <w:p w:rsidR="000A5E04" w:rsidRDefault="000A5E04" w:rsidP="008C3988">
      <w:pPr>
        <w:jc w:val="both"/>
        <w:rPr>
          <w:rFonts w:ascii="Arial" w:hAnsi="Arial" w:cs="Arial"/>
          <w:b/>
        </w:rPr>
      </w:pPr>
    </w:p>
    <w:p w:rsidR="000A5E04" w:rsidRDefault="000A5E04" w:rsidP="008C3988">
      <w:pPr>
        <w:jc w:val="both"/>
        <w:rPr>
          <w:rFonts w:ascii="Arial" w:hAnsi="Arial" w:cs="Arial"/>
          <w:b/>
        </w:rPr>
      </w:pPr>
    </w:p>
    <w:p w:rsidR="000A5E04" w:rsidRDefault="000A5E04" w:rsidP="008C3988">
      <w:pPr>
        <w:jc w:val="both"/>
        <w:rPr>
          <w:rFonts w:ascii="Arial" w:hAnsi="Arial" w:cs="Arial"/>
          <w:b/>
        </w:rPr>
      </w:pPr>
    </w:p>
    <w:p w:rsidR="000A5E04" w:rsidRDefault="000A5E04" w:rsidP="008C3988">
      <w:pPr>
        <w:jc w:val="both"/>
        <w:rPr>
          <w:rFonts w:ascii="Arial" w:hAnsi="Arial" w:cs="Arial"/>
          <w:b/>
        </w:rPr>
      </w:pPr>
    </w:p>
    <w:p w:rsidR="000A5E04" w:rsidRDefault="000A5E04" w:rsidP="008C3988">
      <w:pPr>
        <w:jc w:val="both"/>
        <w:rPr>
          <w:rFonts w:ascii="Arial" w:hAnsi="Arial" w:cs="Arial"/>
          <w:b/>
        </w:rPr>
      </w:pPr>
    </w:p>
    <w:p w:rsidR="00977027" w:rsidRPr="00BE1C41" w:rsidRDefault="00977027" w:rsidP="00977027">
      <w:pPr>
        <w:pStyle w:val="Heading1"/>
        <w:jc w:val="left"/>
        <w:rPr>
          <w:rFonts w:ascii="Garamond" w:hAnsi="Garamond"/>
          <w:sz w:val="20"/>
        </w:rPr>
      </w:pPr>
      <w:r w:rsidRPr="00BE1C41">
        <w:rPr>
          <w:rFonts w:ascii="Garamond" w:hAnsi="Garamond"/>
          <w:sz w:val="20"/>
        </w:rPr>
        <w:lastRenderedPageBreak/>
        <w:t xml:space="preserve">Analizu </w:t>
      </w:r>
      <w:r>
        <w:rPr>
          <w:rFonts w:ascii="Garamond" w:hAnsi="Garamond"/>
          <w:sz w:val="20"/>
        </w:rPr>
        <w:t>sačinio</w:t>
      </w:r>
      <w:r w:rsidRPr="00BE1C41">
        <w:rPr>
          <w:rFonts w:ascii="Garamond" w:hAnsi="Garamond"/>
          <w:sz w:val="20"/>
        </w:rPr>
        <w:t xml:space="preserve"> Odsjek za opšte i pravne poslove </w:t>
      </w:r>
    </w:p>
    <w:p w:rsidR="00977027" w:rsidRPr="00BE1C41" w:rsidRDefault="00977027" w:rsidP="00977027">
      <w:pPr>
        <w:pStyle w:val="Heading1"/>
        <w:jc w:val="left"/>
        <w:rPr>
          <w:rFonts w:ascii="Garamond" w:hAnsi="Garamond"/>
          <w:sz w:val="20"/>
        </w:rPr>
      </w:pPr>
      <w:r w:rsidRPr="00BE1C41">
        <w:rPr>
          <w:rFonts w:ascii="Garamond" w:hAnsi="Garamond"/>
          <w:sz w:val="20"/>
        </w:rPr>
        <w:t>Ministarstva za finansije Bosansko-podrinjskog kantona Goražde</w:t>
      </w:r>
    </w:p>
    <w:p w:rsidR="00977027" w:rsidRDefault="00977027" w:rsidP="002221D8">
      <w:pPr>
        <w:pStyle w:val="Default"/>
        <w:rPr>
          <w:rFonts w:ascii="Arial" w:hAnsi="Arial" w:cs="Arial"/>
          <w:b/>
          <w:bCs/>
        </w:rPr>
      </w:pPr>
    </w:p>
    <w:p w:rsidR="00977027" w:rsidRDefault="00977027" w:rsidP="002221D8">
      <w:pPr>
        <w:pStyle w:val="Default"/>
        <w:rPr>
          <w:rFonts w:ascii="Arial" w:hAnsi="Arial" w:cs="Arial"/>
          <w:b/>
          <w:bCs/>
        </w:rPr>
      </w:pPr>
    </w:p>
    <w:p w:rsidR="00D95BC5" w:rsidRDefault="00D95BC5" w:rsidP="002221D8">
      <w:pPr>
        <w:pStyle w:val="Default"/>
        <w:rPr>
          <w:rFonts w:ascii="Arial" w:hAnsi="Arial" w:cs="Arial"/>
          <w:b/>
          <w:bCs/>
        </w:rPr>
      </w:pPr>
    </w:p>
    <w:p w:rsidR="00D95BC5" w:rsidRDefault="00D95BC5" w:rsidP="002221D8">
      <w:pPr>
        <w:pStyle w:val="Default"/>
        <w:rPr>
          <w:rFonts w:ascii="Arial" w:hAnsi="Arial" w:cs="Arial"/>
          <w:b/>
          <w:bCs/>
        </w:rPr>
      </w:pPr>
    </w:p>
    <w:p w:rsidR="002221D8" w:rsidRPr="00D80D6D" w:rsidRDefault="002221D8" w:rsidP="002221D8">
      <w:pPr>
        <w:pStyle w:val="Default"/>
        <w:rPr>
          <w:rFonts w:ascii="Arial" w:hAnsi="Arial" w:cs="Arial"/>
        </w:rPr>
      </w:pPr>
      <w:r w:rsidRPr="00D80D6D">
        <w:rPr>
          <w:rFonts w:ascii="Arial" w:hAnsi="Arial" w:cs="Arial"/>
          <w:b/>
          <w:bCs/>
        </w:rPr>
        <w:t xml:space="preserve">POPIS KORIŠTENIH IZVORA </w:t>
      </w:r>
    </w:p>
    <w:p w:rsidR="002221D8" w:rsidRDefault="002221D8" w:rsidP="002221D8">
      <w:pPr>
        <w:pStyle w:val="Default"/>
        <w:spacing w:after="25"/>
        <w:rPr>
          <w:sz w:val="26"/>
          <w:szCs w:val="26"/>
        </w:rPr>
      </w:pPr>
    </w:p>
    <w:p w:rsidR="002221D8" w:rsidRPr="002221D8" w:rsidRDefault="002221D8" w:rsidP="001C6B80">
      <w:pPr>
        <w:pStyle w:val="Default"/>
        <w:spacing w:after="25"/>
        <w:jc w:val="both"/>
        <w:rPr>
          <w:rFonts w:ascii="Arial" w:hAnsi="Arial" w:cs="Arial"/>
          <w:sz w:val="22"/>
          <w:szCs w:val="22"/>
        </w:rPr>
      </w:pPr>
      <w:r>
        <w:rPr>
          <w:sz w:val="26"/>
          <w:szCs w:val="26"/>
        </w:rPr>
        <w:t>1</w:t>
      </w:r>
      <w:r w:rsidRPr="002221D8">
        <w:rPr>
          <w:rFonts w:ascii="Arial" w:hAnsi="Arial" w:cs="Arial"/>
          <w:sz w:val="22"/>
          <w:szCs w:val="22"/>
        </w:rPr>
        <w:t xml:space="preserve">. </w:t>
      </w:r>
      <w:r w:rsidRPr="002221D8">
        <w:rPr>
          <w:rFonts w:ascii="Arial" w:hAnsi="Arial" w:cs="Arial"/>
          <w:i/>
          <w:iCs/>
          <w:sz w:val="22"/>
          <w:szCs w:val="22"/>
        </w:rPr>
        <w:t xml:space="preserve">Analiza raspodjele neizravnih poreza u Federaciji BiH, </w:t>
      </w:r>
      <w:r w:rsidRPr="002221D8">
        <w:rPr>
          <w:rFonts w:ascii="Arial" w:hAnsi="Arial" w:cs="Arial"/>
          <w:sz w:val="22"/>
          <w:szCs w:val="22"/>
        </w:rPr>
        <w:t xml:space="preserve">Institut za društveno-politička istraživanja, Mostar, juli 2014. godine. Izvor: http://www.idpi.ba/raspodjela-neizravnih-poreza-u-federaciji-bih-odnosno-kako-je-sarajevo-dobilo-12-milijarde-km-prihoda-drugih-zupanija/, pristupljeno: januar 2014. godine. </w:t>
      </w:r>
    </w:p>
    <w:p w:rsidR="00981A7A" w:rsidRDefault="002221D8" w:rsidP="001C6B80">
      <w:pPr>
        <w:pStyle w:val="Default"/>
        <w:spacing w:after="25"/>
        <w:jc w:val="both"/>
        <w:rPr>
          <w:rFonts w:ascii="Arial" w:hAnsi="Arial" w:cs="Arial"/>
          <w:sz w:val="22"/>
          <w:szCs w:val="22"/>
        </w:rPr>
      </w:pPr>
      <w:r w:rsidRPr="002221D8">
        <w:rPr>
          <w:rFonts w:ascii="Arial" w:hAnsi="Arial" w:cs="Arial"/>
          <w:sz w:val="22"/>
          <w:szCs w:val="22"/>
        </w:rPr>
        <w:t xml:space="preserve">2. </w:t>
      </w:r>
      <w:r w:rsidR="00981A7A">
        <w:rPr>
          <w:rFonts w:ascii="Arial" w:hAnsi="Arial" w:cs="Arial"/>
          <w:sz w:val="22"/>
          <w:szCs w:val="22"/>
        </w:rPr>
        <w:t xml:space="preserve">Informacija o raspodjeli javnih prihoda od indirektnih poreza po kantonima u Federaciji BiH u skladu sa postojećim kriterijima i ponderima, uz projekcije raspodjele po izuzeću pondera, Vlada Tuzlanskog kantona, januar 2015. godine </w:t>
      </w:r>
    </w:p>
    <w:p w:rsidR="00805F59" w:rsidRDefault="00981A7A" w:rsidP="001C6B80">
      <w:pPr>
        <w:pStyle w:val="Default"/>
        <w:spacing w:after="25"/>
        <w:jc w:val="both"/>
        <w:rPr>
          <w:rFonts w:ascii="Arial" w:hAnsi="Arial" w:cs="Arial"/>
          <w:sz w:val="22"/>
          <w:szCs w:val="22"/>
        </w:rPr>
      </w:pPr>
      <w:r>
        <w:rPr>
          <w:rFonts w:ascii="Arial" w:hAnsi="Arial" w:cs="Arial"/>
          <w:sz w:val="22"/>
          <w:szCs w:val="22"/>
        </w:rPr>
        <w:t xml:space="preserve">3. </w:t>
      </w:r>
      <w:r w:rsidR="00805F59">
        <w:rPr>
          <w:rFonts w:ascii="Arial" w:hAnsi="Arial" w:cs="Arial"/>
          <w:sz w:val="22"/>
          <w:szCs w:val="22"/>
        </w:rPr>
        <w:t>Privredna kretanja u Bosansko-podrinjskom kantonu Goražde u period od 01.01.2014. do 31.12.2014. godine, Privredna komora Bosansko-podrinjskog kantona Goražde, februar 2014. godine</w:t>
      </w:r>
    </w:p>
    <w:p w:rsidR="002221D8" w:rsidRPr="002221D8" w:rsidRDefault="00981A7A" w:rsidP="001C6B80">
      <w:pPr>
        <w:pStyle w:val="Default"/>
        <w:spacing w:after="25"/>
        <w:jc w:val="both"/>
        <w:rPr>
          <w:rFonts w:ascii="Arial" w:hAnsi="Arial" w:cs="Arial"/>
          <w:sz w:val="22"/>
          <w:szCs w:val="22"/>
        </w:rPr>
      </w:pPr>
      <w:r>
        <w:rPr>
          <w:rFonts w:ascii="Arial" w:hAnsi="Arial" w:cs="Arial"/>
          <w:sz w:val="22"/>
          <w:szCs w:val="22"/>
        </w:rPr>
        <w:t>4</w:t>
      </w:r>
      <w:r w:rsidR="00805F59">
        <w:rPr>
          <w:rFonts w:ascii="Arial" w:hAnsi="Arial" w:cs="Arial"/>
          <w:sz w:val="22"/>
          <w:szCs w:val="22"/>
        </w:rPr>
        <w:t xml:space="preserve">. </w:t>
      </w:r>
      <w:r w:rsidR="002221D8" w:rsidRPr="002221D8">
        <w:rPr>
          <w:rFonts w:ascii="Arial" w:hAnsi="Arial" w:cs="Arial"/>
          <w:i/>
          <w:iCs/>
          <w:sz w:val="22"/>
          <w:szCs w:val="22"/>
        </w:rPr>
        <w:t xml:space="preserve">Federacija Bosne i Hercegovine u brojkama 2014, </w:t>
      </w:r>
      <w:r w:rsidR="002221D8" w:rsidRPr="002221D8">
        <w:rPr>
          <w:rFonts w:ascii="Arial" w:hAnsi="Arial" w:cs="Arial"/>
          <w:sz w:val="22"/>
          <w:szCs w:val="22"/>
        </w:rPr>
        <w:t xml:space="preserve">Federalni zavod za statistiku, Sarajevo, 2014. </w:t>
      </w:r>
    </w:p>
    <w:p w:rsidR="002221D8" w:rsidRPr="002221D8" w:rsidRDefault="00981A7A" w:rsidP="001C6B80">
      <w:pPr>
        <w:pStyle w:val="Default"/>
        <w:spacing w:after="25"/>
        <w:jc w:val="both"/>
        <w:rPr>
          <w:rFonts w:ascii="Arial" w:hAnsi="Arial" w:cs="Arial"/>
          <w:sz w:val="22"/>
          <w:szCs w:val="22"/>
        </w:rPr>
      </w:pPr>
      <w:r>
        <w:rPr>
          <w:rFonts w:ascii="Arial" w:hAnsi="Arial" w:cs="Arial"/>
          <w:sz w:val="22"/>
          <w:szCs w:val="22"/>
        </w:rPr>
        <w:t>5</w:t>
      </w:r>
      <w:r w:rsidR="002221D8" w:rsidRPr="002221D8">
        <w:rPr>
          <w:rFonts w:ascii="Arial" w:hAnsi="Arial" w:cs="Arial"/>
          <w:sz w:val="22"/>
          <w:szCs w:val="22"/>
        </w:rPr>
        <w:t xml:space="preserve">. </w:t>
      </w:r>
      <w:r w:rsidR="002221D8" w:rsidRPr="002221D8">
        <w:rPr>
          <w:rFonts w:ascii="Arial" w:hAnsi="Arial" w:cs="Arial"/>
          <w:i/>
          <w:iCs/>
          <w:sz w:val="22"/>
          <w:szCs w:val="22"/>
        </w:rPr>
        <w:t xml:space="preserve">Mjesečni statistički pregled Federacije BiH, </w:t>
      </w:r>
      <w:r w:rsidR="002221D8" w:rsidRPr="002221D8">
        <w:rPr>
          <w:rFonts w:ascii="Arial" w:hAnsi="Arial" w:cs="Arial"/>
          <w:sz w:val="22"/>
          <w:szCs w:val="22"/>
        </w:rPr>
        <w:t xml:space="preserve">Federalni zavod za statistiku, Sarajevo, decembar 2014. godine. </w:t>
      </w:r>
    </w:p>
    <w:p w:rsidR="002221D8" w:rsidRPr="002221D8" w:rsidRDefault="00981A7A" w:rsidP="001C6B80">
      <w:pPr>
        <w:pStyle w:val="Default"/>
        <w:spacing w:after="25"/>
        <w:jc w:val="both"/>
        <w:rPr>
          <w:rFonts w:ascii="Arial" w:hAnsi="Arial" w:cs="Arial"/>
          <w:sz w:val="22"/>
          <w:szCs w:val="22"/>
        </w:rPr>
      </w:pPr>
      <w:r>
        <w:rPr>
          <w:rFonts w:ascii="Arial" w:hAnsi="Arial" w:cs="Arial"/>
          <w:sz w:val="22"/>
          <w:szCs w:val="22"/>
        </w:rPr>
        <w:t>6</w:t>
      </w:r>
      <w:r w:rsidR="002221D8" w:rsidRPr="002221D8">
        <w:rPr>
          <w:rFonts w:ascii="Arial" w:hAnsi="Arial" w:cs="Arial"/>
          <w:sz w:val="22"/>
          <w:szCs w:val="22"/>
        </w:rPr>
        <w:t xml:space="preserve">. </w:t>
      </w:r>
      <w:r w:rsidR="002221D8" w:rsidRPr="002221D8">
        <w:rPr>
          <w:rFonts w:ascii="Arial" w:hAnsi="Arial" w:cs="Arial"/>
          <w:i/>
          <w:iCs/>
          <w:sz w:val="22"/>
          <w:szCs w:val="22"/>
        </w:rPr>
        <w:t xml:space="preserve">Uputstvo o određivanju učešća kantona, jedinica lokalne samouprave i nadležnih kantonalnih ustanova za ceste u prihodima od indirektnih poreza i načinu raspoređivanja tih prihoda za 2015. godinu </w:t>
      </w:r>
      <w:r w:rsidR="002221D8" w:rsidRPr="002221D8">
        <w:rPr>
          <w:rFonts w:ascii="Arial" w:hAnsi="Arial" w:cs="Arial"/>
          <w:sz w:val="22"/>
          <w:szCs w:val="22"/>
        </w:rPr>
        <w:t xml:space="preserve">(„Službene novine FBiH“, br. 105/14). </w:t>
      </w:r>
    </w:p>
    <w:p w:rsidR="002221D8" w:rsidRPr="002221D8" w:rsidRDefault="00981A7A" w:rsidP="001C6B80">
      <w:pPr>
        <w:pStyle w:val="Default"/>
        <w:spacing w:after="25"/>
        <w:jc w:val="both"/>
        <w:rPr>
          <w:rFonts w:ascii="Arial" w:hAnsi="Arial" w:cs="Arial"/>
          <w:sz w:val="22"/>
          <w:szCs w:val="22"/>
        </w:rPr>
      </w:pPr>
      <w:r>
        <w:rPr>
          <w:rFonts w:ascii="Arial" w:hAnsi="Arial" w:cs="Arial"/>
          <w:sz w:val="22"/>
          <w:szCs w:val="22"/>
        </w:rPr>
        <w:t>7</w:t>
      </w:r>
      <w:r w:rsidR="002221D8" w:rsidRPr="002221D8">
        <w:rPr>
          <w:rFonts w:ascii="Arial" w:hAnsi="Arial" w:cs="Arial"/>
          <w:sz w:val="22"/>
          <w:szCs w:val="22"/>
        </w:rPr>
        <w:t xml:space="preserve">. </w:t>
      </w:r>
      <w:r w:rsidR="001C6B80">
        <w:rPr>
          <w:rFonts w:ascii="Arial" w:hAnsi="Arial" w:cs="Arial"/>
          <w:sz w:val="22"/>
          <w:szCs w:val="22"/>
        </w:rPr>
        <w:t xml:space="preserve"> </w:t>
      </w:r>
      <w:r w:rsidR="002221D8" w:rsidRPr="002221D8">
        <w:rPr>
          <w:rFonts w:ascii="Arial" w:hAnsi="Arial" w:cs="Arial"/>
          <w:sz w:val="22"/>
          <w:szCs w:val="22"/>
        </w:rPr>
        <w:t xml:space="preserve">Zakon o budžetima Federacije BiH („Službene novine FBiH”, br. 102/13). </w:t>
      </w:r>
    </w:p>
    <w:p w:rsidR="002221D8" w:rsidRPr="002221D8" w:rsidRDefault="00981A7A" w:rsidP="001C6B80">
      <w:pPr>
        <w:pStyle w:val="Default"/>
        <w:spacing w:after="25"/>
        <w:jc w:val="both"/>
        <w:rPr>
          <w:rFonts w:ascii="Arial" w:hAnsi="Arial" w:cs="Arial"/>
          <w:sz w:val="22"/>
          <w:szCs w:val="22"/>
        </w:rPr>
      </w:pPr>
      <w:r>
        <w:rPr>
          <w:rFonts w:ascii="Arial" w:hAnsi="Arial" w:cs="Arial"/>
          <w:sz w:val="22"/>
          <w:szCs w:val="22"/>
        </w:rPr>
        <w:t>8</w:t>
      </w:r>
      <w:r w:rsidR="002221D8" w:rsidRPr="002221D8">
        <w:rPr>
          <w:rFonts w:ascii="Arial" w:hAnsi="Arial" w:cs="Arial"/>
          <w:sz w:val="22"/>
          <w:szCs w:val="22"/>
        </w:rPr>
        <w:t xml:space="preserve">. Zakon o dugu, zaduživanju i garancijama u Federaciji BiH („Službene novine FBiH“, br. 86/07, 24/09 i 45/10). </w:t>
      </w:r>
    </w:p>
    <w:p w:rsidR="002221D8" w:rsidRDefault="00981A7A" w:rsidP="001C6B80">
      <w:pPr>
        <w:pStyle w:val="Default"/>
        <w:jc w:val="both"/>
        <w:rPr>
          <w:rFonts w:ascii="Arial" w:hAnsi="Arial" w:cs="Arial"/>
          <w:sz w:val="22"/>
          <w:szCs w:val="22"/>
        </w:rPr>
      </w:pPr>
      <w:r>
        <w:rPr>
          <w:rFonts w:ascii="Arial" w:hAnsi="Arial" w:cs="Arial"/>
          <w:sz w:val="22"/>
          <w:szCs w:val="22"/>
        </w:rPr>
        <w:t>9</w:t>
      </w:r>
      <w:r w:rsidR="002221D8" w:rsidRPr="002221D8">
        <w:rPr>
          <w:rFonts w:ascii="Arial" w:hAnsi="Arial" w:cs="Arial"/>
          <w:sz w:val="22"/>
          <w:szCs w:val="22"/>
        </w:rPr>
        <w:t xml:space="preserve">. Zakon o pripadnosti javnih prihoda na teritoriji Federacije BiH („Službene novine FBiH“, br. 22/06, 43/08, 22/09 i 35/14). </w:t>
      </w:r>
    </w:p>
    <w:p w:rsidR="001C6B80" w:rsidRPr="002221D8" w:rsidRDefault="00981A7A" w:rsidP="001C6B80">
      <w:pPr>
        <w:pStyle w:val="Default"/>
        <w:jc w:val="both"/>
        <w:rPr>
          <w:rFonts w:ascii="Arial" w:hAnsi="Arial" w:cs="Arial"/>
          <w:sz w:val="22"/>
          <w:szCs w:val="22"/>
        </w:rPr>
      </w:pPr>
      <w:r>
        <w:rPr>
          <w:rFonts w:ascii="Arial" w:hAnsi="Arial" w:cs="Arial"/>
          <w:sz w:val="22"/>
          <w:szCs w:val="22"/>
        </w:rPr>
        <w:t>10</w:t>
      </w:r>
      <w:r w:rsidR="001C6B80">
        <w:rPr>
          <w:rFonts w:ascii="Arial" w:hAnsi="Arial" w:cs="Arial"/>
          <w:sz w:val="22"/>
          <w:szCs w:val="22"/>
        </w:rPr>
        <w:t>. Budžeti kantona objavljeni u službenim novinama odnosno na službenim web stranicama</w:t>
      </w:r>
    </w:p>
    <w:p w:rsidR="00A95A86" w:rsidRDefault="00A95A86" w:rsidP="009369C3">
      <w:pPr>
        <w:pStyle w:val="Heading1"/>
        <w:jc w:val="left"/>
      </w:pPr>
    </w:p>
    <w:p w:rsidR="00D247BB" w:rsidRPr="00D247BB" w:rsidRDefault="00D247BB" w:rsidP="00D247BB"/>
    <w:p w:rsidR="00A95A86" w:rsidRPr="00BE1C41" w:rsidRDefault="00A95A86" w:rsidP="001C6B80">
      <w:pPr>
        <w:jc w:val="both"/>
        <w:rPr>
          <w:rFonts w:ascii="Garamond" w:hAnsi="Garamond" w:cs="Arial"/>
          <w:sz w:val="20"/>
          <w:szCs w:val="20"/>
        </w:rPr>
      </w:pPr>
    </w:p>
    <w:p w:rsidR="00A95A86" w:rsidRDefault="00A95A86" w:rsidP="001C6B80">
      <w:pPr>
        <w:jc w:val="both"/>
        <w:rPr>
          <w:rFonts w:ascii="Arial" w:hAnsi="Arial" w:cs="Arial"/>
        </w:rPr>
      </w:pPr>
    </w:p>
    <w:p w:rsidR="00A95A86" w:rsidRDefault="00A95A86" w:rsidP="00A95A86">
      <w:pPr>
        <w:spacing w:line="240" w:lineRule="auto"/>
        <w:jc w:val="both"/>
        <w:rPr>
          <w:rFonts w:ascii="Arial" w:hAnsi="Arial" w:cs="Arial"/>
        </w:rPr>
      </w:pPr>
      <w:r>
        <w:rPr>
          <w:rFonts w:ascii="Arial" w:hAnsi="Arial" w:cs="Arial"/>
        </w:rPr>
        <w:t xml:space="preserve"> </w:t>
      </w: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BA6F43" w:rsidRDefault="00BA6F43" w:rsidP="00A95A86">
      <w:pPr>
        <w:spacing w:line="240" w:lineRule="auto"/>
        <w:jc w:val="both"/>
        <w:rPr>
          <w:rFonts w:ascii="Arial" w:hAnsi="Arial" w:cs="Arial"/>
        </w:rPr>
      </w:pPr>
    </w:p>
    <w:p w:rsidR="00AF7FB7" w:rsidRDefault="00AF7FB7" w:rsidP="00BA6F43">
      <w:pPr>
        <w:pStyle w:val="Default"/>
        <w:rPr>
          <w:rFonts w:ascii="Arial" w:hAnsi="Arial" w:cs="Arial"/>
          <w:b/>
          <w:bCs/>
        </w:rPr>
      </w:pPr>
    </w:p>
    <w:p w:rsidR="00AF7FB7" w:rsidRDefault="00AF7FB7" w:rsidP="00BA6F43">
      <w:pPr>
        <w:pStyle w:val="Default"/>
        <w:rPr>
          <w:rFonts w:ascii="Arial" w:hAnsi="Arial" w:cs="Arial"/>
          <w:b/>
          <w:bCs/>
        </w:rPr>
      </w:pPr>
    </w:p>
    <w:p w:rsidR="00BA6F43" w:rsidRDefault="00BA6F43" w:rsidP="00BA6F43">
      <w:pPr>
        <w:pStyle w:val="Default"/>
        <w:rPr>
          <w:rFonts w:ascii="Arial" w:hAnsi="Arial" w:cs="Arial"/>
          <w:b/>
          <w:bCs/>
        </w:rPr>
      </w:pPr>
      <w:r w:rsidRPr="00BA6F43">
        <w:rPr>
          <w:rFonts w:ascii="Arial" w:hAnsi="Arial" w:cs="Arial"/>
          <w:b/>
          <w:bCs/>
        </w:rPr>
        <w:t xml:space="preserve">SADRŽAJ </w:t>
      </w:r>
    </w:p>
    <w:p w:rsidR="00BA6F43" w:rsidRPr="00BA6F43" w:rsidRDefault="00BA6F43" w:rsidP="00BA6F43">
      <w:pPr>
        <w:pStyle w:val="Default"/>
        <w:rPr>
          <w:rFonts w:ascii="Arial" w:hAnsi="Arial" w:cs="Arial"/>
        </w:rPr>
      </w:pPr>
    </w:p>
    <w:p w:rsidR="00BA6F43" w:rsidRPr="00AF7FB7" w:rsidRDefault="002E18A2" w:rsidP="00AF7FB7">
      <w:pPr>
        <w:pStyle w:val="Default"/>
        <w:rPr>
          <w:rFonts w:ascii="Arial" w:hAnsi="Arial" w:cs="Arial"/>
          <w:sz w:val="22"/>
          <w:szCs w:val="22"/>
        </w:rPr>
      </w:pPr>
      <w:r w:rsidRPr="00AF7FB7">
        <w:rPr>
          <w:rFonts w:ascii="Arial" w:hAnsi="Arial" w:cs="Arial"/>
          <w:bCs/>
          <w:sz w:val="22"/>
          <w:szCs w:val="22"/>
        </w:rPr>
        <w:t>1</w:t>
      </w:r>
      <w:r w:rsidR="00BA6F43" w:rsidRPr="00AF7FB7">
        <w:rPr>
          <w:rFonts w:ascii="Arial" w:hAnsi="Arial" w:cs="Arial"/>
          <w:bCs/>
          <w:sz w:val="22"/>
          <w:szCs w:val="22"/>
        </w:rPr>
        <w:t xml:space="preserve">. RAZLOZI I NUŽNOST </w:t>
      </w:r>
      <w:r w:rsidR="00813853" w:rsidRPr="00AF7FB7">
        <w:rPr>
          <w:rFonts w:ascii="Arial" w:hAnsi="Arial" w:cs="Arial"/>
          <w:bCs/>
          <w:sz w:val="22"/>
          <w:szCs w:val="22"/>
        </w:rPr>
        <w:t>ANALIZE TE PREDLAGANJA MJERA</w:t>
      </w:r>
      <w:r w:rsidR="00BA6F43" w:rsidRPr="00AF7FB7">
        <w:rPr>
          <w:rFonts w:ascii="Arial" w:hAnsi="Arial" w:cs="Arial"/>
          <w:bCs/>
          <w:sz w:val="22"/>
          <w:szCs w:val="22"/>
        </w:rPr>
        <w:t xml:space="preserve"> ....................</w:t>
      </w:r>
      <w:r w:rsidRPr="00AF7FB7">
        <w:rPr>
          <w:rFonts w:ascii="Arial" w:hAnsi="Arial" w:cs="Arial"/>
          <w:bCs/>
          <w:sz w:val="22"/>
          <w:szCs w:val="22"/>
        </w:rPr>
        <w:t>....</w:t>
      </w:r>
      <w:r w:rsidR="00BA6F43" w:rsidRPr="00AF7FB7">
        <w:rPr>
          <w:rFonts w:ascii="Arial" w:hAnsi="Arial" w:cs="Arial"/>
          <w:bCs/>
          <w:sz w:val="22"/>
          <w:szCs w:val="22"/>
        </w:rPr>
        <w:t>...................</w:t>
      </w:r>
      <w:r w:rsidRPr="00AF7FB7">
        <w:rPr>
          <w:rFonts w:ascii="Arial" w:hAnsi="Arial" w:cs="Arial"/>
          <w:bCs/>
          <w:sz w:val="22"/>
          <w:szCs w:val="22"/>
        </w:rPr>
        <w:t>.......</w:t>
      </w:r>
      <w:r w:rsidR="00AF7FB7">
        <w:rPr>
          <w:rFonts w:ascii="Arial" w:hAnsi="Arial" w:cs="Arial"/>
          <w:bCs/>
          <w:sz w:val="22"/>
          <w:szCs w:val="22"/>
        </w:rPr>
        <w:t>..</w:t>
      </w:r>
      <w:r w:rsidR="00BA6F43" w:rsidRPr="00AF7FB7">
        <w:rPr>
          <w:rFonts w:ascii="Arial" w:hAnsi="Arial" w:cs="Arial"/>
          <w:bCs/>
          <w:sz w:val="22"/>
          <w:szCs w:val="22"/>
        </w:rPr>
        <w:t xml:space="preserve">..... 2 </w:t>
      </w:r>
    </w:p>
    <w:p w:rsidR="002E18A2" w:rsidRPr="00AF7FB7" w:rsidRDefault="002E18A2" w:rsidP="00AF7FB7">
      <w:pPr>
        <w:pStyle w:val="Default"/>
        <w:rPr>
          <w:rFonts w:ascii="Arial" w:hAnsi="Arial" w:cs="Arial"/>
          <w:bCs/>
          <w:sz w:val="22"/>
          <w:szCs w:val="22"/>
        </w:rPr>
      </w:pPr>
    </w:p>
    <w:p w:rsidR="00BA6F43" w:rsidRPr="00AF7FB7" w:rsidRDefault="00BA6F43" w:rsidP="00AF7FB7">
      <w:pPr>
        <w:pStyle w:val="Default"/>
        <w:rPr>
          <w:rFonts w:ascii="Arial" w:hAnsi="Arial" w:cs="Arial"/>
          <w:sz w:val="22"/>
          <w:szCs w:val="22"/>
        </w:rPr>
      </w:pPr>
      <w:r w:rsidRPr="00AF7FB7">
        <w:rPr>
          <w:rFonts w:ascii="Arial" w:hAnsi="Arial" w:cs="Arial"/>
          <w:bCs/>
          <w:sz w:val="22"/>
          <w:szCs w:val="22"/>
        </w:rPr>
        <w:t xml:space="preserve">2. RASPODJELA JAVNIH PRIHODA OD INDIREKTNIH POREZA PO KANTONIMA U SKLADU SA POSTOJEĆIM KRITERIJIMA I PONDERIMA </w:t>
      </w:r>
      <w:r w:rsidR="002E18A2" w:rsidRPr="00AF7FB7">
        <w:rPr>
          <w:rFonts w:ascii="Arial" w:hAnsi="Arial" w:cs="Arial"/>
          <w:bCs/>
          <w:sz w:val="22"/>
          <w:szCs w:val="22"/>
        </w:rPr>
        <w:t>………………………………….</w:t>
      </w:r>
      <w:r w:rsidRPr="00AF7FB7">
        <w:rPr>
          <w:rFonts w:ascii="Arial" w:hAnsi="Arial" w:cs="Arial"/>
          <w:bCs/>
          <w:sz w:val="22"/>
          <w:szCs w:val="22"/>
        </w:rPr>
        <w:t>...</w:t>
      </w:r>
      <w:r w:rsidR="002E18A2" w:rsidRPr="00AF7FB7">
        <w:rPr>
          <w:rFonts w:ascii="Arial" w:hAnsi="Arial" w:cs="Arial"/>
          <w:bCs/>
          <w:sz w:val="22"/>
          <w:szCs w:val="22"/>
        </w:rPr>
        <w:t>....................................</w:t>
      </w:r>
      <w:r w:rsidRPr="00AF7FB7">
        <w:rPr>
          <w:rFonts w:ascii="Arial" w:hAnsi="Arial" w:cs="Arial"/>
          <w:bCs/>
          <w:sz w:val="22"/>
          <w:szCs w:val="22"/>
        </w:rPr>
        <w:t xml:space="preserve"> </w:t>
      </w:r>
      <w:r w:rsidR="002E18A2" w:rsidRPr="00AF7FB7">
        <w:rPr>
          <w:rFonts w:ascii="Arial" w:hAnsi="Arial" w:cs="Arial"/>
          <w:bCs/>
          <w:sz w:val="22"/>
          <w:szCs w:val="22"/>
        </w:rPr>
        <w:t>3</w:t>
      </w:r>
    </w:p>
    <w:p w:rsidR="002E18A2" w:rsidRPr="00AF7FB7" w:rsidRDefault="002E18A2" w:rsidP="00AF7FB7">
      <w:pPr>
        <w:pStyle w:val="Default"/>
        <w:rPr>
          <w:rFonts w:ascii="Arial" w:hAnsi="Arial" w:cs="Arial"/>
          <w:bCs/>
          <w:sz w:val="22"/>
          <w:szCs w:val="22"/>
        </w:rPr>
      </w:pPr>
    </w:p>
    <w:p w:rsidR="00BA6F43" w:rsidRPr="00AF7FB7" w:rsidRDefault="00BA6F43" w:rsidP="00AF7FB7">
      <w:pPr>
        <w:pStyle w:val="Default"/>
        <w:rPr>
          <w:rFonts w:ascii="Arial" w:hAnsi="Arial" w:cs="Arial"/>
          <w:sz w:val="22"/>
          <w:szCs w:val="22"/>
        </w:rPr>
      </w:pPr>
      <w:r w:rsidRPr="00AF7FB7">
        <w:rPr>
          <w:rFonts w:ascii="Arial" w:hAnsi="Arial" w:cs="Arial"/>
          <w:bCs/>
          <w:sz w:val="22"/>
          <w:szCs w:val="22"/>
        </w:rPr>
        <w:t xml:space="preserve">3. </w:t>
      </w:r>
      <w:r w:rsidR="002E18A2" w:rsidRPr="00AF7FB7">
        <w:rPr>
          <w:rFonts w:ascii="Arial" w:hAnsi="Arial" w:cs="Arial"/>
          <w:bCs/>
          <w:sz w:val="22"/>
          <w:szCs w:val="22"/>
        </w:rPr>
        <w:t>NEIZGRAĐENOST INFRASTRUKTURE KAO UZROK POSEBNIH RASHODOVNIH POTREBA………………………………………………..</w:t>
      </w:r>
      <w:r w:rsidRPr="00AF7FB7">
        <w:rPr>
          <w:rFonts w:ascii="Arial" w:hAnsi="Arial" w:cs="Arial"/>
          <w:bCs/>
          <w:sz w:val="22"/>
          <w:szCs w:val="22"/>
        </w:rPr>
        <w:t>.............................................................</w:t>
      </w:r>
      <w:r w:rsidR="002E18A2" w:rsidRPr="00AF7FB7">
        <w:rPr>
          <w:rFonts w:ascii="Arial" w:hAnsi="Arial" w:cs="Arial"/>
          <w:bCs/>
          <w:sz w:val="22"/>
          <w:szCs w:val="22"/>
        </w:rPr>
        <w:t>..........</w:t>
      </w:r>
      <w:r w:rsidRPr="00AF7FB7">
        <w:rPr>
          <w:rFonts w:ascii="Arial" w:hAnsi="Arial" w:cs="Arial"/>
          <w:bCs/>
          <w:sz w:val="22"/>
          <w:szCs w:val="22"/>
        </w:rPr>
        <w:t>.</w:t>
      </w:r>
      <w:r w:rsidR="002E18A2" w:rsidRPr="00AF7FB7">
        <w:rPr>
          <w:rFonts w:ascii="Arial" w:hAnsi="Arial" w:cs="Arial"/>
          <w:bCs/>
          <w:sz w:val="22"/>
          <w:szCs w:val="22"/>
        </w:rPr>
        <w:t>...</w:t>
      </w:r>
      <w:r w:rsidRPr="00AF7FB7">
        <w:rPr>
          <w:rFonts w:ascii="Arial" w:hAnsi="Arial" w:cs="Arial"/>
          <w:bCs/>
          <w:sz w:val="22"/>
          <w:szCs w:val="22"/>
        </w:rPr>
        <w:t xml:space="preserve">. </w:t>
      </w:r>
      <w:r w:rsidR="00D944E1">
        <w:rPr>
          <w:rFonts w:ascii="Arial" w:hAnsi="Arial" w:cs="Arial"/>
          <w:bCs/>
          <w:sz w:val="22"/>
          <w:szCs w:val="22"/>
        </w:rPr>
        <w:t>7</w:t>
      </w:r>
      <w:r w:rsidRPr="00AF7FB7">
        <w:rPr>
          <w:rFonts w:ascii="Arial" w:hAnsi="Arial" w:cs="Arial"/>
          <w:bCs/>
          <w:sz w:val="22"/>
          <w:szCs w:val="22"/>
        </w:rPr>
        <w:t xml:space="preserve"> </w:t>
      </w:r>
    </w:p>
    <w:p w:rsidR="002E18A2" w:rsidRPr="00AF7FB7" w:rsidRDefault="002E18A2" w:rsidP="00AF7FB7">
      <w:pPr>
        <w:pStyle w:val="Default"/>
        <w:rPr>
          <w:rFonts w:ascii="Arial" w:hAnsi="Arial" w:cs="Arial"/>
          <w:bCs/>
          <w:sz w:val="22"/>
          <w:szCs w:val="22"/>
        </w:rPr>
      </w:pPr>
    </w:p>
    <w:p w:rsidR="002E18A2" w:rsidRPr="00AF7FB7" w:rsidRDefault="00BA6F43" w:rsidP="00AF7FB7">
      <w:pPr>
        <w:pStyle w:val="Default"/>
        <w:rPr>
          <w:rFonts w:ascii="Arial" w:hAnsi="Arial" w:cs="Arial"/>
          <w:bCs/>
          <w:sz w:val="22"/>
          <w:szCs w:val="22"/>
        </w:rPr>
      </w:pPr>
      <w:r w:rsidRPr="00AF7FB7">
        <w:rPr>
          <w:rFonts w:ascii="Arial" w:hAnsi="Arial" w:cs="Arial"/>
          <w:bCs/>
          <w:sz w:val="22"/>
          <w:szCs w:val="22"/>
        </w:rPr>
        <w:t>4.</w:t>
      </w:r>
      <w:r w:rsidR="002E18A2" w:rsidRPr="00AF7FB7">
        <w:rPr>
          <w:rFonts w:ascii="Arial" w:hAnsi="Arial" w:cs="Arial"/>
          <w:bCs/>
          <w:sz w:val="22"/>
          <w:szCs w:val="22"/>
        </w:rPr>
        <w:t xml:space="preserve"> SOCIJALNA I ZDRAVSTVENA STRUKTURA STANOVNIŠTVA KAO UZROK POSEBNIH RASHODOVNIH POTREBA……………………………………………………………………………..……12</w:t>
      </w:r>
    </w:p>
    <w:p w:rsidR="002E18A2" w:rsidRPr="00AF7FB7" w:rsidRDefault="002E18A2" w:rsidP="00AF7FB7">
      <w:pPr>
        <w:pStyle w:val="Default"/>
        <w:rPr>
          <w:rFonts w:ascii="Arial" w:hAnsi="Arial" w:cs="Arial"/>
          <w:bCs/>
          <w:sz w:val="22"/>
          <w:szCs w:val="22"/>
        </w:rPr>
      </w:pPr>
    </w:p>
    <w:p w:rsidR="00BA6F43" w:rsidRPr="00AF7FB7" w:rsidRDefault="002E18A2" w:rsidP="00AF7FB7">
      <w:pPr>
        <w:pStyle w:val="Default"/>
        <w:rPr>
          <w:rFonts w:ascii="Arial" w:hAnsi="Arial" w:cs="Arial"/>
          <w:sz w:val="22"/>
          <w:szCs w:val="22"/>
        </w:rPr>
      </w:pPr>
      <w:r w:rsidRPr="00AF7FB7">
        <w:rPr>
          <w:rFonts w:ascii="Arial" w:hAnsi="Arial" w:cs="Arial"/>
          <w:bCs/>
          <w:sz w:val="22"/>
          <w:szCs w:val="22"/>
        </w:rPr>
        <w:t>5. KOMPARATIVNI PRIKAZ RASPODJELE JAVNIH PRIHODA OD INDIREKTNIH POREZA U SKLADU SA POSTOJEĆIM KRITERIJIMA  SA I BEZ PONDERA KOJI UKAZUJE NA NEOPHODNOST ZADRŽAVANJA PONDERA DO UVOĐENJA DODATNIH KRITERIJA ZA RASPODJELU</w:t>
      </w:r>
      <w:r w:rsidRPr="00AF7FB7">
        <w:rPr>
          <w:rFonts w:ascii="Arial" w:hAnsi="Arial" w:cs="Arial"/>
          <w:sz w:val="22"/>
          <w:szCs w:val="22"/>
        </w:rPr>
        <w:t xml:space="preserve"> </w:t>
      </w:r>
      <w:r w:rsidR="00BA6F43" w:rsidRPr="00AF7FB7">
        <w:rPr>
          <w:rFonts w:ascii="Arial" w:hAnsi="Arial" w:cs="Arial"/>
          <w:bCs/>
          <w:sz w:val="22"/>
          <w:szCs w:val="22"/>
        </w:rPr>
        <w:t>.......................................</w:t>
      </w:r>
      <w:r w:rsidRPr="00AF7FB7">
        <w:rPr>
          <w:rFonts w:ascii="Arial" w:hAnsi="Arial" w:cs="Arial"/>
          <w:bCs/>
          <w:sz w:val="22"/>
          <w:szCs w:val="22"/>
        </w:rPr>
        <w:t>........................................................</w:t>
      </w:r>
      <w:r w:rsidR="00BA6F43" w:rsidRPr="00AF7FB7">
        <w:rPr>
          <w:rFonts w:ascii="Arial" w:hAnsi="Arial" w:cs="Arial"/>
          <w:bCs/>
          <w:sz w:val="22"/>
          <w:szCs w:val="22"/>
        </w:rPr>
        <w:t>..........................</w:t>
      </w:r>
      <w:r w:rsidRPr="00AF7FB7">
        <w:rPr>
          <w:rFonts w:ascii="Arial" w:hAnsi="Arial" w:cs="Arial"/>
          <w:bCs/>
          <w:sz w:val="22"/>
          <w:szCs w:val="22"/>
        </w:rPr>
        <w:t>......</w:t>
      </w:r>
      <w:r w:rsidR="00BA6F43" w:rsidRPr="00AF7FB7">
        <w:rPr>
          <w:rFonts w:ascii="Arial" w:hAnsi="Arial" w:cs="Arial"/>
          <w:bCs/>
          <w:sz w:val="22"/>
          <w:szCs w:val="22"/>
        </w:rPr>
        <w:t xml:space="preserve">...... 14 </w:t>
      </w:r>
    </w:p>
    <w:p w:rsidR="002E18A2" w:rsidRPr="00AF7FB7" w:rsidRDefault="002E18A2" w:rsidP="00AF7FB7">
      <w:pPr>
        <w:pStyle w:val="Default"/>
        <w:rPr>
          <w:rFonts w:ascii="Arial" w:hAnsi="Arial" w:cs="Arial"/>
          <w:bCs/>
          <w:sz w:val="22"/>
          <w:szCs w:val="22"/>
        </w:rPr>
      </w:pPr>
    </w:p>
    <w:p w:rsidR="00BA6F43" w:rsidRPr="00AF7FB7" w:rsidRDefault="002E18A2" w:rsidP="00AF7FB7">
      <w:pPr>
        <w:pStyle w:val="Default"/>
        <w:rPr>
          <w:rFonts w:ascii="Arial" w:hAnsi="Arial" w:cs="Arial"/>
          <w:sz w:val="22"/>
          <w:szCs w:val="22"/>
        </w:rPr>
      </w:pPr>
      <w:r w:rsidRPr="00AF7FB7">
        <w:rPr>
          <w:rFonts w:ascii="Arial" w:hAnsi="Arial" w:cs="Arial"/>
          <w:bCs/>
          <w:sz w:val="22"/>
          <w:szCs w:val="22"/>
        </w:rPr>
        <w:t>6</w:t>
      </w:r>
      <w:r w:rsidR="00BA6F43" w:rsidRPr="00AF7FB7">
        <w:rPr>
          <w:rFonts w:ascii="Arial" w:hAnsi="Arial" w:cs="Arial"/>
          <w:bCs/>
          <w:sz w:val="22"/>
          <w:szCs w:val="22"/>
        </w:rPr>
        <w:t>. ZAKLJUČAK .......................................................................................................</w:t>
      </w:r>
      <w:r w:rsidRPr="00AF7FB7">
        <w:rPr>
          <w:rFonts w:ascii="Arial" w:hAnsi="Arial" w:cs="Arial"/>
          <w:bCs/>
          <w:sz w:val="22"/>
          <w:szCs w:val="22"/>
        </w:rPr>
        <w:t>............................. 15</w:t>
      </w:r>
      <w:r w:rsidR="00BA6F43" w:rsidRPr="00AF7FB7">
        <w:rPr>
          <w:rFonts w:ascii="Arial" w:hAnsi="Arial" w:cs="Arial"/>
          <w:bCs/>
          <w:sz w:val="22"/>
          <w:szCs w:val="22"/>
        </w:rPr>
        <w:t xml:space="preserve"> </w:t>
      </w:r>
    </w:p>
    <w:p w:rsidR="002E18A2" w:rsidRPr="00AF7FB7" w:rsidRDefault="002E18A2" w:rsidP="00AF7FB7">
      <w:pPr>
        <w:pStyle w:val="Default"/>
        <w:rPr>
          <w:rFonts w:ascii="Arial" w:hAnsi="Arial" w:cs="Arial"/>
          <w:bCs/>
          <w:sz w:val="22"/>
          <w:szCs w:val="22"/>
        </w:rPr>
      </w:pPr>
    </w:p>
    <w:p w:rsidR="00BA6F43" w:rsidRPr="00AF7FB7" w:rsidRDefault="00AF7FB7" w:rsidP="00AF7FB7">
      <w:pPr>
        <w:pStyle w:val="Default"/>
        <w:rPr>
          <w:rFonts w:ascii="Arial" w:hAnsi="Arial" w:cs="Arial"/>
          <w:bCs/>
          <w:sz w:val="22"/>
          <w:szCs w:val="22"/>
        </w:rPr>
      </w:pPr>
      <w:r w:rsidRPr="00AF7FB7">
        <w:rPr>
          <w:rFonts w:ascii="Arial" w:hAnsi="Arial" w:cs="Arial"/>
          <w:bCs/>
          <w:sz w:val="22"/>
          <w:szCs w:val="22"/>
        </w:rPr>
        <w:t xml:space="preserve">    </w:t>
      </w:r>
      <w:r w:rsidR="00BA6F43" w:rsidRPr="00AF7FB7">
        <w:rPr>
          <w:rFonts w:ascii="Arial" w:hAnsi="Arial" w:cs="Arial"/>
          <w:bCs/>
          <w:sz w:val="22"/>
          <w:szCs w:val="22"/>
        </w:rPr>
        <w:t>POPIS KORIŠTENIH IZVORA ...................................</w:t>
      </w:r>
      <w:r w:rsidR="002E18A2" w:rsidRPr="00AF7FB7">
        <w:rPr>
          <w:rFonts w:ascii="Arial" w:hAnsi="Arial" w:cs="Arial"/>
          <w:bCs/>
          <w:sz w:val="22"/>
          <w:szCs w:val="22"/>
        </w:rPr>
        <w:t>.</w:t>
      </w:r>
      <w:r w:rsidR="00BA6F43" w:rsidRPr="00AF7FB7">
        <w:rPr>
          <w:rFonts w:ascii="Arial" w:hAnsi="Arial" w:cs="Arial"/>
          <w:bCs/>
          <w:sz w:val="22"/>
          <w:szCs w:val="22"/>
        </w:rPr>
        <w:t>.....................</w:t>
      </w:r>
      <w:r w:rsidR="002E18A2" w:rsidRPr="00AF7FB7">
        <w:rPr>
          <w:rFonts w:ascii="Arial" w:hAnsi="Arial" w:cs="Arial"/>
          <w:bCs/>
          <w:sz w:val="22"/>
          <w:szCs w:val="22"/>
        </w:rPr>
        <w:t>.........</w:t>
      </w:r>
      <w:r w:rsidRPr="00AF7FB7">
        <w:rPr>
          <w:rFonts w:ascii="Arial" w:hAnsi="Arial" w:cs="Arial"/>
          <w:bCs/>
          <w:sz w:val="22"/>
          <w:szCs w:val="22"/>
        </w:rPr>
        <w:t>.</w:t>
      </w:r>
      <w:r w:rsidR="002E18A2" w:rsidRPr="00AF7FB7">
        <w:rPr>
          <w:rFonts w:ascii="Arial" w:hAnsi="Arial" w:cs="Arial"/>
          <w:bCs/>
          <w:sz w:val="22"/>
          <w:szCs w:val="22"/>
        </w:rPr>
        <w:t>.............</w:t>
      </w:r>
      <w:r w:rsidR="00BA6F43" w:rsidRPr="00AF7FB7">
        <w:rPr>
          <w:rFonts w:ascii="Arial" w:hAnsi="Arial" w:cs="Arial"/>
          <w:bCs/>
          <w:sz w:val="22"/>
          <w:szCs w:val="22"/>
        </w:rPr>
        <w:t>........</w:t>
      </w:r>
      <w:r w:rsidR="002E18A2" w:rsidRPr="00AF7FB7">
        <w:rPr>
          <w:rFonts w:ascii="Arial" w:hAnsi="Arial" w:cs="Arial"/>
          <w:bCs/>
          <w:sz w:val="22"/>
          <w:szCs w:val="22"/>
        </w:rPr>
        <w:t>................. 17</w:t>
      </w:r>
      <w:r w:rsidR="00BA6F43" w:rsidRPr="00AF7FB7">
        <w:rPr>
          <w:rFonts w:ascii="Arial" w:hAnsi="Arial" w:cs="Arial"/>
          <w:bCs/>
          <w:sz w:val="22"/>
          <w:szCs w:val="22"/>
        </w:rPr>
        <w:t xml:space="preserve"> </w:t>
      </w:r>
    </w:p>
    <w:p w:rsidR="00AF7FB7" w:rsidRPr="00AF7FB7" w:rsidRDefault="00AF7FB7" w:rsidP="00AF7FB7">
      <w:pPr>
        <w:pStyle w:val="Default"/>
        <w:rPr>
          <w:rFonts w:ascii="Arial" w:hAnsi="Arial" w:cs="Arial"/>
          <w:bCs/>
          <w:sz w:val="22"/>
          <w:szCs w:val="22"/>
        </w:rPr>
      </w:pPr>
    </w:p>
    <w:p w:rsidR="002E18A2" w:rsidRDefault="00AF7FB7" w:rsidP="00BA6F43">
      <w:pPr>
        <w:pStyle w:val="Default"/>
        <w:rPr>
          <w:rFonts w:ascii="Arial" w:hAnsi="Arial" w:cs="Arial"/>
          <w:b/>
          <w:bCs/>
          <w:sz w:val="22"/>
          <w:szCs w:val="22"/>
        </w:rPr>
      </w:pPr>
      <w:r>
        <w:rPr>
          <w:rFonts w:ascii="Arial" w:hAnsi="Arial" w:cs="Arial"/>
          <w:b/>
          <w:bCs/>
          <w:sz w:val="22"/>
          <w:szCs w:val="22"/>
        </w:rPr>
        <w:t xml:space="preserve"> </w:t>
      </w:r>
    </w:p>
    <w:sectPr w:rsidR="002E18A2" w:rsidSect="00D95BC5">
      <w:pgSz w:w="12240" w:h="15840"/>
      <w:pgMar w:top="709" w:right="1041"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AD" w:rsidRDefault="005B4DAD" w:rsidP="00D80D6D">
      <w:pPr>
        <w:spacing w:after="0" w:line="240" w:lineRule="auto"/>
      </w:pPr>
      <w:r>
        <w:separator/>
      </w:r>
    </w:p>
  </w:endnote>
  <w:endnote w:type="continuationSeparator" w:id="1">
    <w:p w:rsidR="005B4DAD" w:rsidRDefault="005B4DAD" w:rsidP="00D8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8407"/>
      <w:docPartObj>
        <w:docPartGallery w:val="Page Numbers (Bottom of Page)"/>
        <w:docPartUnique/>
      </w:docPartObj>
    </w:sdtPr>
    <w:sdtContent>
      <w:p w:rsidR="009240E6" w:rsidRDefault="009240E6">
        <w:pPr>
          <w:pStyle w:val="Footer"/>
          <w:jc w:val="right"/>
        </w:pPr>
        <w:fldSimple w:instr=" PAGE   \* MERGEFORMAT ">
          <w:r w:rsidR="003477C6">
            <w:rPr>
              <w:noProof/>
            </w:rPr>
            <w:t>17</w:t>
          </w:r>
        </w:fldSimple>
      </w:p>
    </w:sdtContent>
  </w:sdt>
  <w:p w:rsidR="009240E6" w:rsidRDefault="00924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AD" w:rsidRDefault="005B4DAD" w:rsidP="00D80D6D">
      <w:pPr>
        <w:spacing w:after="0" w:line="240" w:lineRule="auto"/>
      </w:pPr>
      <w:r>
        <w:separator/>
      </w:r>
    </w:p>
  </w:footnote>
  <w:footnote w:type="continuationSeparator" w:id="1">
    <w:p w:rsidR="005B4DAD" w:rsidRDefault="005B4DAD" w:rsidP="00D80D6D">
      <w:pPr>
        <w:spacing w:after="0" w:line="240" w:lineRule="auto"/>
      </w:pPr>
      <w:r>
        <w:continuationSeparator/>
      </w:r>
    </w:p>
  </w:footnote>
  <w:footnote w:id="2">
    <w:p w:rsidR="009240E6" w:rsidRPr="00D80D6D" w:rsidRDefault="009240E6">
      <w:pPr>
        <w:pStyle w:val="FootnoteText"/>
        <w:rPr>
          <w:lang w:val="bs-Latn-BA"/>
        </w:rPr>
      </w:pPr>
      <w:r>
        <w:rPr>
          <w:rStyle w:val="FootnoteReference"/>
        </w:rPr>
        <w:footnoteRef/>
      </w:r>
      <w:r>
        <w:t xml:space="preserve"> </w:t>
      </w:r>
      <w:r>
        <w:rPr>
          <w:rFonts w:ascii="Garamond" w:hAnsi="Garamond" w:cs="Garamond"/>
        </w:rPr>
        <w:t xml:space="preserve">Prihodi od indirektnih poreza sa Jedinstvenog računa, koji po osnovu „koeficijenata doznačavanja“ pripadaju Federaciji BiH uplaćuju se na poseban račun za raspodjelu prihoda sa Jedinstvenog računa između korisnika u Federaciji BiH. </w:t>
      </w:r>
      <w:r>
        <w:t xml:space="preserve"> </w:t>
      </w:r>
    </w:p>
  </w:footnote>
  <w:footnote w:id="3">
    <w:p w:rsidR="009240E6" w:rsidRPr="00313719" w:rsidRDefault="009240E6" w:rsidP="00313719">
      <w:pPr>
        <w:pStyle w:val="FootnoteText"/>
        <w:jc w:val="both"/>
      </w:pPr>
      <w:r>
        <w:rPr>
          <w:rStyle w:val="FootnoteReference"/>
        </w:rPr>
        <w:footnoteRef/>
      </w:r>
      <w:r>
        <w:t xml:space="preserve"> Podaci preuzeti iz budžeta kantona za 2014. godinu koji su objavljeni u službenim novinama odnosno na službenim web    stranicama. Nedostaju podaci za Posavski kanton obzirom da rashodi u Budžetu Posavskog kantona nisu analitički razvrstani tako isti nisu dostupni.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100"/>
    <w:multiLevelType w:val="hybridMultilevel"/>
    <w:tmpl w:val="1680A290"/>
    <w:lvl w:ilvl="0" w:tplc="DE2830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652F4A"/>
    <w:multiLevelType w:val="hybridMultilevel"/>
    <w:tmpl w:val="999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61E3F"/>
    <w:multiLevelType w:val="hybridMultilevel"/>
    <w:tmpl w:val="C992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D33F3"/>
    <w:multiLevelType w:val="hybridMultilevel"/>
    <w:tmpl w:val="42D8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3D29"/>
    <w:rsid w:val="00011463"/>
    <w:rsid w:val="000362A6"/>
    <w:rsid w:val="0004084E"/>
    <w:rsid w:val="00055ABD"/>
    <w:rsid w:val="00063B52"/>
    <w:rsid w:val="00064104"/>
    <w:rsid w:val="00070A11"/>
    <w:rsid w:val="00083D77"/>
    <w:rsid w:val="000A5E04"/>
    <w:rsid w:val="000E4CAC"/>
    <w:rsid w:val="00103E98"/>
    <w:rsid w:val="0010457D"/>
    <w:rsid w:val="001C1E04"/>
    <w:rsid w:val="001C6B80"/>
    <w:rsid w:val="001D3FE9"/>
    <w:rsid w:val="001F0C84"/>
    <w:rsid w:val="00202B58"/>
    <w:rsid w:val="00211F09"/>
    <w:rsid w:val="0021377D"/>
    <w:rsid w:val="002221D8"/>
    <w:rsid w:val="00243657"/>
    <w:rsid w:val="00256210"/>
    <w:rsid w:val="0027309B"/>
    <w:rsid w:val="002B0CF5"/>
    <w:rsid w:val="002E18A2"/>
    <w:rsid w:val="00304C8B"/>
    <w:rsid w:val="00313719"/>
    <w:rsid w:val="00322014"/>
    <w:rsid w:val="003477C6"/>
    <w:rsid w:val="0037171E"/>
    <w:rsid w:val="00373D29"/>
    <w:rsid w:val="0038230F"/>
    <w:rsid w:val="00393E12"/>
    <w:rsid w:val="003B6D3F"/>
    <w:rsid w:val="003D5543"/>
    <w:rsid w:val="00403C76"/>
    <w:rsid w:val="0043673E"/>
    <w:rsid w:val="00463F05"/>
    <w:rsid w:val="004B71A9"/>
    <w:rsid w:val="004D0767"/>
    <w:rsid w:val="004E17B3"/>
    <w:rsid w:val="00506007"/>
    <w:rsid w:val="005B4DAD"/>
    <w:rsid w:val="005C73AA"/>
    <w:rsid w:val="005D3A95"/>
    <w:rsid w:val="005F4398"/>
    <w:rsid w:val="00600D6E"/>
    <w:rsid w:val="00601729"/>
    <w:rsid w:val="00603A66"/>
    <w:rsid w:val="006240DD"/>
    <w:rsid w:val="006333E4"/>
    <w:rsid w:val="00657C6B"/>
    <w:rsid w:val="0066382F"/>
    <w:rsid w:val="006B1A9B"/>
    <w:rsid w:val="006C0BFE"/>
    <w:rsid w:val="006D4561"/>
    <w:rsid w:val="006F0887"/>
    <w:rsid w:val="006F2D5E"/>
    <w:rsid w:val="006F7C1A"/>
    <w:rsid w:val="007175AE"/>
    <w:rsid w:val="00722561"/>
    <w:rsid w:val="00722A9D"/>
    <w:rsid w:val="007451D9"/>
    <w:rsid w:val="007A27C4"/>
    <w:rsid w:val="007F15CC"/>
    <w:rsid w:val="007F5B6E"/>
    <w:rsid w:val="00802EEB"/>
    <w:rsid w:val="00805F59"/>
    <w:rsid w:val="00807128"/>
    <w:rsid w:val="00813853"/>
    <w:rsid w:val="008204EE"/>
    <w:rsid w:val="008266D5"/>
    <w:rsid w:val="008733CE"/>
    <w:rsid w:val="00891ED7"/>
    <w:rsid w:val="008C3988"/>
    <w:rsid w:val="009240E6"/>
    <w:rsid w:val="009369C3"/>
    <w:rsid w:val="00945DBF"/>
    <w:rsid w:val="00971A44"/>
    <w:rsid w:val="00977027"/>
    <w:rsid w:val="00981A7A"/>
    <w:rsid w:val="00993411"/>
    <w:rsid w:val="00994A10"/>
    <w:rsid w:val="009A0799"/>
    <w:rsid w:val="009B0CBC"/>
    <w:rsid w:val="009C3300"/>
    <w:rsid w:val="009E2259"/>
    <w:rsid w:val="00A10D5E"/>
    <w:rsid w:val="00A27B12"/>
    <w:rsid w:val="00A338B4"/>
    <w:rsid w:val="00A95A86"/>
    <w:rsid w:val="00AF7FB7"/>
    <w:rsid w:val="00B11A11"/>
    <w:rsid w:val="00B171B8"/>
    <w:rsid w:val="00B267E5"/>
    <w:rsid w:val="00B53C23"/>
    <w:rsid w:val="00B6676F"/>
    <w:rsid w:val="00B67003"/>
    <w:rsid w:val="00B961E5"/>
    <w:rsid w:val="00BA1503"/>
    <w:rsid w:val="00BA6F43"/>
    <w:rsid w:val="00BE1C41"/>
    <w:rsid w:val="00C03F61"/>
    <w:rsid w:val="00C84A4C"/>
    <w:rsid w:val="00C85EC0"/>
    <w:rsid w:val="00C93659"/>
    <w:rsid w:val="00CA2D57"/>
    <w:rsid w:val="00CA72D8"/>
    <w:rsid w:val="00CC7ADA"/>
    <w:rsid w:val="00CE1A49"/>
    <w:rsid w:val="00CE6E9E"/>
    <w:rsid w:val="00CE711D"/>
    <w:rsid w:val="00CF16B2"/>
    <w:rsid w:val="00CF59FB"/>
    <w:rsid w:val="00D063BC"/>
    <w:rsid w:val="00D22134"/>
    <w:rsid w:val="00D247BB"/>
    <w:rsid w:val="00D263E5"/>
    <w:rsid w:val="00D50488"/>
    <w:rsid w:val="00D645A4"/>
    <w:rsid w:val="00D77185"/>
    <w:rsid w:val="00D80D6D"/>
    <w:rsid w:val="00D944E1"/>
    <w:rsid w:val="00D95BC5"/>
    <w:rsid w:val="00DA025C"/>
    <w:rsid w:val="00DD15B7"/>
    <w:rsid w:val="00DF3CA1"/>
    <w:rsid w:val="00ED3867"/>
    <w:rsid w:val="00F25D3F"/>
    <w:rsid w:val="00F26E03"/>
    <w:rsid w:val="00F54BA0"/>
    <w:rsid w:val="00FD0785"/>
    <w:rsid w:val="00FD38F0"/>
    <w:rsid w:val="00FD6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04"/>
  </w:style>
  <w:style w:type="paragraph" w:styleId="Heading1">
    <w:name w:val="heading 1"/>
    <w:basedOn w:val="Normal"/>
    <w:next w:val="Normal"/>
    <w:link w:val="Heading1Char"/>
    <w:qFormat/>
    <w:rsid w:val="004E17B3"/>
    <w:pPr>
      <w:keepNext/>
      <w:widowControl w:val="0"/>
      <w:overflowPunct w:val="0"/>
      <w:autoSpaceDE w:val="0"/>
      <w:autoSpaceDN w:val="0"/>
      <w:adjustRightInd w:val="0"/>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D29"/>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D80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D6D"/>
    <w:rPr>
      <w:sz w:val="20"/>
      <w:szCs w:val="20"/>
    </w:rPr>
  </w:style>
  <w:style w:type="character" w:styleId="FootnoteReference">
    <w:name w:val="footnote reference"/>
    <w:basedOn w:val="DefaultParagraphFont"/>
    <w:uiPriority w:val="99"/>
    <w:semiHidden/>
    <w:unhideWhenUsed/>
    <w:rsid w:val="00D80D6D"/>
    <w:rPr>
      <w:vertAlign w:val="superscript"/>
    </w:rPr>
  </w:style>
  <w:style w:type="character" w:customStyle="1" w:styleId="Heading1Char">
    <w:name w:val="Heading 1 Char"/>
    <w:basedOn w:val="DefaultParagraphFont"/>
    <w:link w:val="Heading1"/>
    <w:rsid w:val="004E17B3"/>
    <w:rPr>
      <w:rFonts w:ascii="Arial" w:eastAsia="Times New Roman" w:hAnsi="Arial" w:cs="Times New Roman"/>
      <w:b/>
      <w:sz w:val="24"/>
      <w:szCs w:val="20"/>
    </w:rPr>
  </w:style>
  <w:style w:type="paragraph" w:styleId="Header">
    <w:name w:val="header"/>
    <w:basedOn w:val="Normal"/>
    <w:link w:val="HeaderChar"/>
    <w:uiPriority w:val="99"/>
    <w:semiHidden/>
    <w:unhideWhenUsed/>
    <w:rsid w:val="00CA2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D57"/>
  </w:style>
  <w:style w:type="paragraph" w:styleId="Footer">
    <w:name w:val="footer"/>
    <w:basedOn w:val="Normal"/>
    <w:link w:val="FooterChar"/>
    <w:uiPriority w:val="99"/>
    <w:unhideWhenUsed/>
    <w:rsid w:val="00CA2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57"/>
  </w:style>
  <w:style w:type="table" w:styleId="TableGrid">
    <w:name w:val="Table Grid"/>
    <w:basedOn w:val="TableNormal"/>
    <w:uiPriority w:val="59"/>
    <w:rsid w:val="006F7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7213-A6ED-4E6E-9CF8-2D7F4CD9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7237</Words>
  <Characters>41255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Min</Company>
  <LinksUpToDate>false</LinksUpToDate>
  <CharactersWithSpaces>48396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MinFin</dc:creator>
  <cp:keywords/>
  <dc:description/>
  <cp:lastModifiedBy>PC</cp:lastModifiedBy>
  <cp:revision>25</cp:revision>
  <cp:lastPrinted>2015-03-06T08:46:00Z</cp:lastPrinted>
  <dcterms:created xsi:type="dcterms:W3CDTF">2015-03-09T08:41:00Z</dcterms:created>
  <dcterms:modified xsi:type="dcterms:W3CDTF">2015-04-14T10:50:00Z</dcterms:modified>
</cp:coreProperties>
</file>