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07"/>
        <w:gridCol w:w="3053"/>
        <w:gridCol w:w="3128"/>
      </w:tblGrid>
      <w:tr w:rsidR="00036C04" w:rsidRPr="001B5AB6" w:rsidTr="009608F6">
        <w:tc>
          <w:tcPr>
            <w:tcW w:w="3107" w:type="dxa"/>
          </w:tcPr>
          <w:p w:rsidR="00036C04" w:rsidRPr="001B5AB6" w:rsidRDefault="00036C04" w:rsidP="009608F6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B5AB6"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MINISTARSTVO ZA PRIVREDU</w:t>
            </w:r>
          </w:p>
          <w:p w:rsidR="00036C04" w:rsidRPr="001B5AB6" w:rsidRDefault="00036C04" w:rsidP="009608F6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</w:tcPr>
          <w:p w:rsidR="00036C04" w:rsidRPr="001B5AB6" w:rsidRDefault="00036C04" w:rsidP="00960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>
                  <wp:extent cx="504825" cy="723900"/>
                  <wp:effectExtent l="19050" t="0" r="9525" b="0"/>
                  <wp:docPr id="17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036C04" w:rsidRPr="001B5AB6" w:rsidRDefault="00036C04" w:rsidP="009608F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036C04" w:rsidRPr="001B5AB6" w:rsidRDefault="00036C04" w:rsidP="009608F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AB6">
              <w:rPr>
                <w:rFonts w:ascii="Arial" w:hAnsi="Arial" w:cs="Arial"/>
                <w:sz w:val="16"/>
                <w:szCs w:val="16"/>
              </w:rPr>
              <w:t>ΜИНИСТАРСТВО ЗА ПРИВРЕДУ</w:t>
            </w:r>
          </w:p>
          <w:p w:rsidR="00036C04" w:rsidRPr="001B5AB6" w:rsidRDefault="00036C04" w:rsidP="00960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C04" w:rsidRPr="001B5AB6" w:rsidTr="009608F6">
        <w:tc>
          <w:tcPr>
            <w:tcW w:w="3107" w:type="dxa"/>
          </w:tcPr>
          <w:p w:rsidR="00036C04" w:rsidRPr="001B5AB6" w:rsidRDefault="00036C04" w:rsidP="009608F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3" w:type="dxa"/>
          </w:tcPr>
          <w:p w:rsidR="00036C04" w:rsidRPr="001B5AB6" w:rsidRDefault="00036C04" w:rsidP="009608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8" w:type="dxa"/>
          </w:tcPr>
          <w:p w:rsidR="00036C04" w:rsidRPr="001B5AB6" w:rsidRDefault="00036C04" w:rsidP="009608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36C04" w:rsidRPr="001B5AB6" w:rsidRDefault="00036C04" w:rsidP="00036C04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</w:t>
      </w:r>
    </w:p>
    <w:p w:rsidR="00036C04" w:rsidRPr="001B5AB6" w:rsidRDefault="00036C04" w:rsidP="00036C04">
      <w:pPr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 R O G R A M</w:t>
      </w:r>
    </w:p>
    <w:p w:rsidR="00036C04" w:rsidRDefault="00036C04" w:rsidP="00036C04">
      <w:pPr>
        <w:tabs>
          <w:tab w:val="left" w:pos="2010"/>
          <w:tab w:val="center" w:pos="4536"/>
        </w:tabs>
        <w:spacing w:before="120"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Utroška sredstava</w:t>
      </w: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Ministarstva za privredu Bosansko-podrinjskog kantona Goražde</w:t>
      </w:r>
    </w:p>
    <w:p w:rsidR="00036C04" w:rsidRDefault="00036C04" w:rsidP="00036C04">
      <w:pPr>
        <w:spacing w:before="120" w:after="120" w:line="312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sa ekonomskog koda 614 400 –Subvencije javnim preduzećima</w:t>
      </w: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Pr="001B5AB6" w:rsidRDefault="00036C04" w:rsidP="00036C04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036C04" w:rsidRDefault="00036C04" w:rsidP="00036C04">
      <w:pPr>
        <w:rPr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sz w:val="19"/>
          <w:szCs w:val="19"/>
        </w:rPr>
      </w:pPr>
    </w:p>
    <w:p w:rsidR="00036C04" w:rsidRDefault="00036C04" w:rsidP="00036C04">
      <w:pPr>
        <w:spacing w:before="120" w:after="120" w:line="312" w:lineRule="auto"/>
        <w:jc w:val="center"/>
        <w:rPr>
          <w:sz w:val="19"/>
          <w:szCs w:val="19"/>
        </w:rPr>
      </w:pPr>
      <w:r>
        <w:rPr>
          <w:sz w:val="19"/>
          <w:szCs w:val="19"/>
        </w:rPr>
        <w:t>Goražde, septembar 202</w:t>
      </w:r>
      <w:r w:rsidR="00365B66">
        <w:rPr>
          <w:sz w:val="19"/>
          <w:szCs w:val="19"/>
        </w:rPr>
        <w:t>2</w:t>
      </w:r>
      <w:r>
        <w:rPr>
          <w:sz w:val="19"/>
          <w:szCs w:val="19"/>
        </w:rPr>
        <w:t>.</w:t>
      </w:r>
    </w:p>
    <w:p w:rsidR="00036C04" w:rsidRDefault="00036C04" w:rsidP="00036C04">
      <w:pPr>
        <w:spacing w:before="120" w:after="120" w:line="312" w:lineRule="auto"/>
        <w:jc w:val="center"/>
        <w:rPr>
          <w:sz w:val="19"/>
          <w:szCs w:val="19"/>
        </w:rPr>
      </w:pP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lastRenderedPageBreak/>
        <w:t xml:space="preserve">Na osnovu člana </w:t>
      </w:r>
      <w:r w:rsidRPr="007F674F">
        <w:t>46</w:t>
      </w:r>
      <w:r w:rsidRPr="005729B5">
        <w:t>. Zakona o izvršenju budžeta Bosansko-podrinjskog kantona Goražde za 202</w:t>
      </w:r>
      <w:r w:rsidR="000256DA">
        <w:t>2</w:t>
      </w:r>
      <w:r w:rsidRPr="005729B5">
        <w:t xml:space="preserve">.godinu („Službene novine Bosansko-podrinjskog kantona Goražde“,broj: </w:t>
      </w:r>
      <w:r w:rsidR="000256DA">
        <w:t>1</w:t>
      </w:r>
      <w:r w:rsidRPr="005729B5">
        <w:t>2/21), a u skladu sa Zakonom  o sistemu državne pomoći u Bosni i Hercegovini („ Službeni glasnik BiH“ broj: 10/12), Ministarstvo za privredu Bosansko-podrinjskog kantona Goražde utvrđuje:</w:t>
      </w:r>
    </w:p>
    <w:p w:rsidR="00036C04" w:rsidRPr="005729B5" w:rsidRDefault="00036C04" w:rsidP="00036C04">
      <w:pPr>
        <w:spacing w:before="120" w:after="120" w:line="312" w:lineRule="auto"/>
        <w:jc w:val="center"/>
      </w:pPr>
    </w:p>
    <w:p w:rsidR="00036C04" w:rsidRPr="005729B5" w:rsidRDefault="00036C04" w:rsidP="00036C04">
      <w:pPr>
        <w:spacing w:before="120" w:after="120" w:line="312" w:lineRule="auto"/>
        <w:jc w:val="center"/>
        <w:rPr>
          <w:b/>
        </w:rPr>
      </w:pPr>
      <w:r w:rsidRPr="005729B5">
        <w:rPr>
          <w:b/>
        </w:rPr>
        <w:t>P R O G R A M    U T R O</w:t>
      </w:r>
      <w:r w:rsidRPr="005729B5">
        <w:rPr>
          <w:b/>
          <w:color w:val="000000" w:themeColor="text1"/>
        </w:rPr>
        <w:t xml:space="preserve"> Š</w:t>
      </w:r>
      <w:r w:rsidRPr="005729B5">
        <w:rPr>
          <w:b/>
        </w:rPr>
        <w:t xml:space="preserve"> K A 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b/>
        </w:rPr>
      </w:pPr>
      <w:r w:rsidRPr="005729B5">
        <w:rPr>
          <w:b/>
        </w:rPr>
        <w:t>sredstava Ministarstva za privredu Bosansko-podrinjskog kantona Goražde za 202</w:t>
      </w:r>
      <w:r w:rsidR="000256DA">
        <w:rPr>
          <w:b/>
        </w:rPr>
        <w:t>2</w:t>
      </w:r>
      <w:r w:rsidRPr="005729B5">
        <w:rPr>
          <w:b/>
        </w:rPr>
        <w:t>.godinu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b/>
        </w:rPr>
      </w:pPr>
      <w:r w:rsidRPr="005729B5">
        <w:rPr>
          <w:b/>
        </w:rPr>
        <w:t>sa ekonomskog koda 614400 HAP 001– Subvencije javnim preduzećima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b/>
        </w:rPr>
      </w:pPr>
    </w:p>
    <w:p w:rsidR="00036C04" w:rsidRPr="005729B5" w:rsidRDefault="00036C04" w:rsidP="00036C04">
      <w:pPr>
        <w:spacing w:before="120" w:after="120" w:line="312" w:lineRule="auto"/>
        <w:jc w:val="center"/>
        <w:rPr>
          <w:color w:val="000000" w:themeColor="text1"/>
        </w:rPr>
      </w:pPr>
      <w:r w:rsidRPr="005729B5">
        <w:rPr>
          <w:color w:val="000000" w:themeColor="text1"/>
        </w:rPr>
        <w:t>TAČKA 1.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color w:val="000000" w:themeColor="text1"/>
        </w:rPr>
      </w:pPr>
    </w:p>
    <w:p w:rsidR="00036C04" w:rsidRPr="005729B5" w:rsidRDefault="00036C04" w:rsidP="00036C04">
      <w:pPr>
        <w:spacing w:before="120" w:after="120" w:line="312" w:lineRule="auto"/>
        <w:ind w:left="2832" w:firstLine="708"/>
        <w:rPr>
          <w:b/>
        </w:rPr>
      </w:pPr>
      <w:r w:rsidRPr="005729B5">
        <w:rPr>
          <w:b/>
        </w:rPr>
        <w:t>NAZIV PROGRAMA</w:t>
      </w:r>
    </w:p>
    <w:p w:rsidR="00036C04" w:rsidRPr="005729B5" w:rsidRDefault="00036C04" w:rsidP="000256DA">
      <w:pPr>
        <w:spacing w:before="120" w:after="120" w:line="312" w:lineRule="auto"/>
        <w:ind w:left="-284" w:right="-248" w:firstLine="824"/>
        <w:jc w:val="both"/>
        <w:rPr>
          <w:b/>
        </w:rPr>
      </w:pPr>
      <w:r w:rsidRPr="005729B5">
        <w:rPr>
          <w:bCs/>
        </w:rPr>
        <w:t>Naziv Programa utroška sredstava Budžeta Bosansko-pod</w:t>
      </w:r>
      <w:r w:rsidR="000256DA">
        <w:rPr>
          <w:bCs/>
        </w:rPr>
        <w:t>rinjskog kantona Goražde za 2022</w:t>
      </w:r>
      <w:r w:rsidRPr="005729B5">
        <w:rPr>
          <w:bCs/>
        </w:rPr>
        <w:t xml:space="preserve">.godinu sa ekonomskog koda 614 400 </w:t>
      </w:r>
      <w:r w:rsidRPr="005729B5">
        <w:t>HAP 001</w:t>
      </w:r>
      <w:r w:rsidRPr="005729B5">
        <w:rPr>
          <w:bCs/>
        </w:rPr>
        <w:t xml:space="preserve">– Subvencije javnim preduzećima glasi: </w:t>
      </w:r>
      <w:r w:rsidRPr="005729B5">
        <w:rPr>
          <w:b/>
          <w:bCs/>
        </w:rPr>
        <w:t>Program unapređenja usluga javnih preduzeća u Bosansko-podrinjskom kantonu Goražde za 202</w:t>
      </w:r>
      <w:r w:rsidR="000256DA">
        <w:rPr>
          <w:b/>
          <w:bCs/>
        </w:rPr>
        <w:t>2</w:t>
      </w:r>
      <w:r w:rsidRPr="005729B5">
        <w:rPr>
          <w:b/>
          <w:bCs/>
        </w:rPr>
        <w:t>.godinu.</w:t>
      </w: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  <w:r w:rsidRPr="005729B5">
        <w:t>PODACI O PROGRAMU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Period realizacije programa: </w:t>
      </w:r>
      <w:r w:rsidRPr="005729B5">
        <w:tab/>
        <w:t xml:space="preserve">          01.01.202</w:t>
      </w:r>
      <w:r w:rsidR="000256DA">
        <w:t>2</w:t>
      </w:r>
      <w:r w:rsidRPr="005729B5">
        <w:t xml:space="preserve"> - 31.12.202</w:t>
      </w:r>
      <w:r w:rsidR="001D4471">
        <w:t>2</w:t>
      </w:r>
      <w:r w:rsidRPr="005729B5">
        <w:t xml:space="preserve">. </w:t>
      </w: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  <w:r w:rsidRPr="005729B5">
        <w:t>Budžetska pozicija:                          Subvencije javnim preduzećima</w:t>
      </w:r>
    </w:p>
    <w:p w:rsidR="00036C04" w:rsidRPr="005729B5" w:rsidRDefault="00036C04" w:rsidP="00036C04">
      <w:pPr>
        <w:spacing w:before="120" w:after="120" w:line="312" w:lineRule="auto"/>
        <w:ind w:left="709"/>
        <w:jc w:val="both"/>
      </w:pPr>
      <w:r w:rsidRPr="005729B5">
        <w:t>Ekonomski kod:</w:t>
      </w:r>
      <w:r w:rsidRPr="005729B5">
        <w:tab/>
      </w:r>
      <w:r w:rsidRPr="005729B5">
        <w:tab/>
      </w:r>
      <w:r w:rsidRPr="005729B5">
        <w:tab/>
        <w:t>614 400  HAP 001</w:t>
      </w: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  <w:r>
        <w:t xml:space="preserve">Ukupna vrijednost Programa:          </w:t>
      </w:r>
      <w:r w:rsidR="001D4471">
        <w:t>2</w:t>
      </w:r>
      <w:r w:rsidR="00A2511D">
        <w:t>0</w:t>
      </w:r>
      <w:r w:rsidRPr="005729B5">
        <w:t>.000 KM</w:t>
      </w: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  <w:r w:rsidRPr="005729B5">
        <w:t xml:space="preserve">Odgovorna osoba: </w:t>
      </w:r>
      <w:r w:rsidRPr="005729B5">
        <w:tab/>
      </w:r>
      <w:r w:rsidRPr="005729B5">
        <w:tab/>
        <w:t xml:space="preserve">          </w:t>
      </w:r>
      <w:r>
        <w:t>Haris Salković</w:t>
      </w:r>
    </w:p>
    <w:p w:rsidR="00036C04" w:rsidRPr="005729B5" w:rsidRDefault="00036C04" w:rsidP="00036C04">
      <w:pPr>
        <w:spacing w:before="120" w:after="120" w:line="312" w:lineRule="auto"/>
        <w:ind w:left="708"/>
        <w:jc w:val="both"/>
      </w:pPr>
      <w:r w:rsidRPr="005729B5">
        <w:t>Pozicija odgovorne osobe:</w:t>
      </w:r>
      <w:r w:rsidRPr="005729B5">
        <w:tab/>
        <w:t xml:space="preserve">          Ministar</w:t>
      </w:r>
    </w:p>
    <w:p w:rsidR="00036C04" w:rsidRPr="005729B5" w:rsidRDefault="00036C04" w:rsidP="00036C04">
      <w:pPr>
        <w:spacing w:before="120" w:after="120" w:line="312" w:lineRule="auto"/>
        <w:ind w:left="708"/>
        <w:jc w:val="both"/>
      </w:pPr>
      <w:r w:rsidRPr="005729B5">
        <w:t>Kontakt osoba za Program:</w:t>
      </w:r>
      <w:r w:rsidRPr="005729B5">
        <w:tab/>
        <w:t xml:space="preserve">          </w:t>
      </w:r>
      <w:r w:rsidR="00466FF1">
        <w:t>Minela Bašić</w:t>
      </w:r>
    </w:p>
    <w:p w:rsidR="00036C04" w:rsidRPr="005729B5" w:rsidRDefault="00A2511D" w:rsidP="00036C04">
      <w:pPr>
        <w:spacing w:before="120" w:after="120" w:line="312" w:lineRule="auto"/>
        <w:ind w:left="708"/>
        <w:jc w:val="both"/>
      </w:pPr>
      <w:r>
        <w:t>Kontakt telefon:</w:t>
      </w:r>
      <w:r>
        <w:tab/>
      </w:r>
      <w:r>
        <w:tab/>
        <w:t xml:space="preserve">         </w:t>
      </w:r>
      <w:r w:rsidR="00036C04" w:rsidRPr="005729B5">
        <w:t xml:space="preserve">+387-38-228-640 </w:t>
      </w:r>
    </w:p>
    <w:p w:rsidR="00036C04" w:rsidRPr="005729B5" w:rsidRDefault="00036C04" w:rsidP="00036C04">
      <w:pPr>
        <w:spacing w:before="120" w:after="120" w:line="312" w:lineRule="auto"/>
        <w:ind w:left="540" w:firstLine="169"/>
        <w:jc w:val="both"/>
      </w:pPr>
      <w:r w:rsidRPr="005729B5">
        <w:t>Kontakt e-mail:</w:t>
      </w:r>
      <w:r w:rsidRPr="005729B5">
        <w:tab/>
      </w:r>
      <w:r w:rsidRPr="005729B5">
        <w:tab/>
      </w:r>
      <w:r w:rsidRPr="005729B5">
        <w:tab/>
      </w:r>
      <w:r w:rsidR="00466FF1">
        <w:t>basic.minela@hotmail.com</w:t>
      </w:r>
    </w:p>
    <w:p w:rsidR="00036C04" w:rsidRPr="005729B5" w:rsidRDefault="00036C04" w:rsidP="00036C04">
      <w:pPr>
        <w:spacing w:before="120" w:after="120" w:line="312" w:lineRule="auto"/>
        <w:ind w:left="708"/>
        <w:jc w:val="both"/>
        <w:rPr>
          <w:rStyle w:val="Hyperlink"/>
        </w:rPr>
      </w:pPr>
      <w:r w:rsidRPr="005729B5">
        <w:t>Internet:</w:t>
      </w:r>
      <w:r w:rsidRPr="005729B5">
        <w:tab/>
      </w:r>
      <w:r w:rsidRPr="005729B5">
        <w:tab/>
      </w:r>
      <w:r w:rsidRPr="005729B5">
        <w:tab/>
        <w:t xml:space="preserve">          </w:t>
      </w:r>
      <w:hyperlink r:id="rId9" w:history="1">
        <w:r w:rsidRPr="005729B5">
          <w:rPr>
            <w:rStyle w:val="Hyperlink"/>
          </w:rPr>
          <w:t>www.mp.bpkg.gov.ba</w:t>
        </w:r>
      </w:hyperlink>
    </w:p>
    <w:p w:rsidR="00036C04" w:rsidRDefault="00036C04" w:rsidP="00036C04">
      <w:pPr>
        <w:spacing w:before="120" w:after="120" w:line="312" w:lineRule="auto"/>
        <w:jc w:val="both"/>
        <w:rPr>
          <w:b/>
        </w:rPr>
      </w:pPr>
    </w:p>
    <w:p w:rsidR="001D4471" w:rsidRDefault="001D4471" w:rsidP="00036C04">
      <w:pPr>
        <w:spacing w:before="120" w:after="120" w:line="312" w:lineRule="auto"/>
        <w:jc w:val="both"/>
        <w:rPr>
          <w:b/>
        </w:rPr>
      </w:pP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lastRenderedPageBreak/>
        <w:t>1.SAGLASNOST NA PROGRAM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 xml:space="preserve">Saglasnost na Program, u skladu sa članom </w:t>
      </w:r>
      <w:r w:rsidRPr="007F674F">
        <w:t>46</w:t>
      </w:r>
      <w:r w:rsidRPr="005729B5">
        <w:t>. Zakona o izvršenju budžeta Bosansko-podrinjskog kantona Goražde za 202</w:t>
      </w:r>
      <w:r w:rsidR="001D4471">
        <w:t>2</w:t>
      </w:r>
      <w:r w:rsidRPr="005729B5">
        <w:t>.godinu („Službene novine Bosansko-podrinjskog kantona Goražde“, broj:</w:t>
      </w:r>
      <w:r w:rsidR="001D4471">
        <w:t>1</w:t>
      </w:r>
      <w:r w:rsidRPr="005729B5">
        <w:t>2/21), dala je Vlada Bosansko podrinjskog kantona Goražde, Odlukom broj: 03-____________ od ___________ 202</w:t>
      </w:r>
      <w:r w:rsidR="004B175C">
        <w:t>2</w:t>
      </w:r>
      <w:r w:rsidRPr="005729B5">
        <w:t xml:space="preserve">.godine. 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t>2.SVRHA  I OPIS PROGRAMA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2.1. Svrha programa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t xml:space="preserve">Program utroška je provedbeni akt ministarstva za transparentan, specifičan, mjerljiv  i vremenski određen utrošak državne pomoći u unapređenju  usluga  javnih  preduzeća. Definisanje svrhe programa utroška propisano je Zakonom o izvršenju  budžeta i Programom razvoja Bosansko-podrinjskog kantona Goražde. </w:t>
      </w:r>
    </w:p>
    <w:p w:rsidR="00036C04" w:rsidRPr="000E2D28" w:rsidRDefault="00036C04" w:rsidP="00036C04">
      <w:pPr>
        <w:spacing w:before="120" w:after="120" w:line="312" w:lineRule="auto"/>
        <w:ind w:firstLine="705"/>
        <w:jc w:val="both"/>
      </w:pPr>
      <w:r w:rsidRPr="000E2D28">
        <w:t>Svrha programa je pružanje podrške davanjem pojedinačne državne pomoći za unapređenje usluga javnih</w:t>
      </w:r>
      <w:r w:rsidR="001D4471" w:rsidRPr="000E2D28">
        <w:t xml:space="preserve"> preduzeća koja se nalaze na </w:t>
      </w:r>
      <w:r w:rsidRPr="000E2D28">
        <w:t>područj</w:t>
      </w:r>
      <w:r w:rsidR="006F40B2" w:rsidRPr="000E2D28">
        <w:t>u</w:t>
      </w:r>
      <w:r w:rsidRPr="000E2D28">
        <w:t xml:space="preserve"> Bosansko-podrinjskog kantona Goražde,</w:t>
      </w:r>
      <w:r w:rsidR="007F674F" w:rsidRPr="000E2D28">
        <w:t xml:space="preserve"> </w:t>
      </w:r>
      <w:r w:rsidRPr="000E2D28">
        <w:t>tj.pružanje podrške Javnim preduzećima koj</w:t>
      </w:r>
      <w:r w:rsidR="00EF4F81" w:rsidRPr="000E2D28">
        <w:t>a</w:t>
      </w:r>
      <w:r w:rsidRPr="000E2D28">
        <w:t xml:space="preserve"> vrše emitiranje radijskog i televizijskog programa, čime bi došlo do povećanja stepena informisanosti građana na području Bosansko-podrinjskog kantona Goražde</w:t>
      </w:r>
      <w:r w:rsidR="006F40B2" w:rsidRPr="000E2D28">
        <w:t xml:space="preserve">, kao i </w:t>
      </w:r>
      <w:r w:rsidR="0042608D" w:rsidRPr="000E2D28">
        <w:t xml:space="preserve">javnim preduzećima koja se bave </w:t>
      </w:r>
      <w:r w:rsidR="002A4269" w:rsidRPr="000E2D28">
        <w:t xml:space="preserve">liječenjem </w:t>
      </w:r>
      <w:r w:rsidR="00967CD3" w:rsidRPr="000E2D28">
        <w:t xml:space="preserve">i drugim vrstama zaštite </w:t>
      </w:r>
      <w:r w:rsidR="007F674F" w:rsidRPr="000E2D28">
        <w:t xml:space="preserve">domaćih </w:t>
      </w:r>
      <w:r w:rsidR="002A4269" w:rsidRPr="000E2D28">
        <w:t xml:space="preserve">životinja </w:t>
      </w:r>
      <w:r w:rsidR="006F40B2" w:rsidRPr="000E2D28">
        <w:t>na prostoru Bosansko-podirnjs</w:t>
      </w:r>
      <w:r w:rsidR="007F674F" w:rsidRPr="000E2D28">
        <w:t>k</w:t>
      </w:r>
      <w:r w:rsidR="006F40B2" w:rsidRPr="000E2D28">
        <w:t>og kantona Goražde</w:t>
      </w:r>
      <w:r w:rsidR="002E267C" w:rsidRPr="000E2D28">
        <w:t>,</w:t>
      </w:r>
      <w:r w:rsidR="005535EA" w:rsidRPr="000E2D28">
        <w:t xml:space="preserve"> čime bi došlo do rješavanja ključnih problema koji su otežavali </w:t>
      </w:r>
      <w:r w:rsidR="004A6144" w:rsidRPr="000E2D28">
        <w:t>pružanje usluga</w:t>
      </w:r>
      <w:r w:rsidRPr="000E2D28">
        <w:t>.</w:t>
      </w:r>
    </w:p>
    <w:p w:rsidR="00036C04" w:rsidRPr="005729B5" w:rsidRDefault="00036C04" w:rsidP="00036C04">
      <w:pPr>
        <w:spacing w:before="120" w:after="120" w:line="312" w:lineRule="auto"/>
        <w:ind w:firstLine="360"/>
        <w:jc w:val="both"/>
      </w:pPr>
      <w:r w:rsidRPr="005729B5">
        <w:t xml:space="preserve">Svrha Programa je takođe, da u skladu sa članom </w:t>
      </w:r>
      <w:r w:rsidRPr="000E2D28">
        <w:t>46</w:t>
      </w:r>
      <w:r w:rsidRPr="005729B5">
        <w:t>. Zakona o izvršenju budžeta, osigura planski i transparentan utrošak sredstava, odobren na ekonomskom kodu 614 400 (HAP 001) – Subvencije  javnim  preduzećima, u skladu sa važećim zakonskim propisima.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</w:rPr>
      </w:pPr>
      <w:r w:rsidRPr="005729B5">
        <w:rPr>
          <w:i/>
        </w:rPr>
        <w:t>2.2. Opis Programa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i/>
          <w:iCs/>
          <w:color w:val="000000" w:themeColor="text1"/>
        </w:rPr>
      </w:pPr>
      <w:r w:rsidRPr="005729B5">
        <w:rPr>
          <w:color w:val="000000" w:themeColor="text1"/>
        </w:rPr>
        <w:t>Program utroška sredstava sa ekonomskog koda 614400 (HAP 001)–Subvencije  javnim  preduzećima, Budžeta Ministarstva za privredu Bosansko–podrinjskog kantona Goražde za 202</w:t>
      </w:r>
      <w:r w:rsidR="00512B1F">
        <w:rPr>
          <w:color w:val="000000" w:themeColor="text1"/>
        </w:rPr>
        <w:t>2</w:t>
      </w:r>
      <w:r w:rsidRPr="005729B5">
        <w:rPr>
          <w:color w:val="000000" w:themeColor="text1"/>
        </w:rPr>
        <w:t>. godinu (u daljem tekstu Program), definiše bitne elemente za dobijanje saglasnosti za Program od strane Vlade Bosansko-podr</w:t>
      </w:r>
      <w:r>
        <w:rPr>
          <w:color w:val="000000" w:themeColor="text1"/>
        </w:rPr>
        <w:t>injskog kantona, kao što su opć</w:t>
      </w:r>
      <w:r w:rsidRPr="005729B5">
        <w:rPr>
          <w:color w:val="000000" w:themeColor="text1"/>
        </w:rPr>
        <w:t>i i posebni ciljevi Programa, kriteriji za raspodjelu sredstava, potrebna sredstva, korisnici sredstava, procjena rezultata te procjenu nepredviđenih rashoda i izdataka</w:t>
      </w:r>
      <w:r w:rsidRPr="005729B5">
        <w:rPr>
          <w:i/>
          <w:iCs/>
          <w:color w:val="000000" w:themeColor="text1"/>
        </w:rPr>
        <w:t>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t>3.OPĆI I POSEBNI CILJEVI PROGRAMA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</w:rPr>
      </w:pPr>
      <w:r w:rsidRPr="005729B5">
        <w:rPr>
          <w:i/>
        </w:rPr>
        <w:t>3.1  Opći/osnovni cilj Programa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bCs/>
          <w:color w:val="000000" w:themeColor="text1"/>
          <w:lang w:val="bs-Latn-BA"/>
        </w:rPr>
      </w:pPr>
      <w:r w:rsidRPr="005729B5">
        <w:rPr>
          <w:color w:val="000000" w:themeColor="text1"/>
        </w:rPr>
        <w:t xml:space="preserve">Opći cilj programa je osiguranje </w:t>
      </w:r>
      <w:r w:rsidRPr="005729B5">
        <w:rPr>
          <w:bCs/>
          <w:color w:val="000000" w:themeColor="text1"/>
        </w:rPr>
        <w:t>pružanja kvalitetnih usluga javnim preduzećima sa područja B</w:t>
      </w:r>
      <w:r w:rsidR="005535EA">
        <w:rPr>
          <w:bCs/>
          <w:color w:val="000000" w:themeColor="text1"/>
        </w:rPr>
        <w:t>osan</w:t>
      </w:r>
      <w:r w:rsidR="004A6144">
        <w:rPr>
          <w:bCs/>
          <w:color w:val="000000" w:themeColor="text1"/>
        </w:rPr>
        <w:t>sk</w:t>
      </w:r>
      <w:r w:rsidR="005535EA">
        <w:rPr>
          <w:bCs/>
          <w:color w:val="000000" w:themeColor="text1"/>
        </w:rPr>
        <w:t xml:space="preserve">o-podrinjskog kantona </w:t>
      </w:r>
      <w:r w:rsidRPr="005729B5">
        <w:rPr>
          <w:bCs/>
          <w:color w:val="000000" w:themeColor="text1"/>
        </w:rPr>
        <w:t xml:space="preserve">Goražde i njihov razvoj kroz </w:t>
      </w:r>
      <w:r w:rsidRPr="005729B5">
        <w:rPr>
          <w:bCs/>
          <w:color w:val="000000" w:themeColor="text1"/>
          <w:lang w:val="bs-Latn-BA"/>
        </w:rPr>
        <w:t xml:space="preserve">smanjenje operativnih troškova poslovanja, te rješavanje ključnih problema koji otežavaju pružanje usluga </w:t>
      </w:r>
      <w:r w:rsidRPr="005729B5">
        <w:rPr>
          <w:bCs/>
          <w:color w:val="000000" w:themeColor="text1"/>
        </w:rPr>
        <w:t>na prostoru Bosansko-podrinjskog kantona Goražde</w:t>
      </w:r>
      <w:r w:rsidRPr="005729B5">
        <w:rPr>
          <w:bCs/>
          <w:color w:val="000000" w:themeColor="text1"/>
          <w:lang w:val="bs-Latn-BA"/>
        </w:rPr>
        <w:t>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  <w:lang w:val="bs-Latn-BA"/>
        </w:rPr>
        <w:lastRenderedPageBreak/>
        <w:t xml:space="preserve">Program sadrži posebne (specifične) ciljeve Programa u okviru kojih će se pružati podrška korisnicima Programa. 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</w:rPr>
      </w:pPr>
      <w:r w:rsidRPr="005729B5">
        <w:rPr>
          <w:i/>
        </w:rPr>
        <w:t>3.2. Posebni/specifični ciljevi Programa</w:t>
      </w:r>
    </w:p>
    <w:p w:rsidR="00036C04" w:rsidRPr="005729B5" w:rsidRDefault="00036C04" w:rsidP="00036C04">
      <w:pPr>
        <w:spacing w:before="120" w:after="120" w:line="312" w:lineRule="auto"/>
        <w:jc w:val="both"/>
      </w:pPr>
      <w:r w:rsidRPr="005729B5">
        <w:t xml:space="preserve">U skladu sa opštim ciljem, posebni/specifični cilj programa </w:t>
      </w:r>
      <w:r>
        <w:t>je</w:t>
      </w:r>
      <w:r w:rsidRPr="005729B5">
        <w:t xml:space="preserve">: </w:t>
      </w:r>
    </w:p>
    <w:p w:rsidR="00E903FA" w:rsidRPr="005729B5" w:rsidRDefault="00036C04" w:rsidP="00036C04">
      <w:pPr>
        <w:spacing w:before="120" w:after="120" w:line="312" w:lineRule="auto"/>
        <w:jc w:val="both"/>
        <w:rPr>
          <w:color w:val="000000" w:themeColor="text1"/>
        </w:rPr>
      </w:pPr>
      <w:r w:rsidRPr="005729B5">
        <w:rPr>
          <w:b/>
        </w:rPr>
        <w:t xml:space="preserve">- </w:t>
      </w:r>
      <w:r w:rsidRPr="0032372F">
        <w:rPr>
          <w:u w:val="single"/>
        </w:rPr>
        <w:t>P</w:t>
      </w:r>
      <w:r w:rsidRPr="0032372F">
        <w:rPr>
          <w:color w:val="000000" w:themeColor="text1"/>
          <w:u w:val="single"/>
        </w:rPr>
        <w:t>oseban cilj Programa</w:t>
      </w:r>
      <w:r w:rsidRPr="005729B5">
        <w:rPr>
          <w:color w:val="000000" w:themeColor="text1"/>
        </w:rPr>
        <w:t xml:space="preserve"> je pružanje podrške </w:t>
      </w:r>
      <w:r>
        <w:rPr>
          <w:color w:val="000000" w:themeColor="text1"/>
        </w:rPr>
        <w:t xml:space="preserve">Javnim preduzećima </w:t>
      </w:r>
      <w:r w:rsidR="004A6144">
        <w:rPr>
          <w:color w:val="000000" w:themeColor="text1"/>
        </w:rPr>
        <w:t>sa područja Bosa</w:t>
      </w:r>
      <w:r w:rsidR="0055177C">
        <w:rPr>
          <w:color w:val="000000" w:themeColor="text1"/>
        </w:rPr>
        <w:t>nsko-podrin</w:t>
      </w:r>
      <w:r w:rsidR="00870AE7">
        <w:rPr>
          <w:color w:val="000000" w:themeColor="text1"/>
        </w:rPr>
        <w:t>js</w:t>
      </w:r>
      <w:r w:rsidR="0055177C">
        <w:rPr>
          <w:color w:val="000000" w:themeColor="text1"/>
        </w:rPr>
        <w:t>k</w:t>
      </w:r>
      <w:r w:rsidR="00870AE7">
        <w:rPr>
          <w:color w:val="000000" w:themeColor="text1"/>
        </w:rPr>
        <w:t>og kantona Goražde</w:t>
      </w:r>
      <w:r>
        <w:rPr>
          <w:color w:val="000000" w:themeColor="text1"/>
        </w:rPr>
        <w:t xml:space="preserve"> koj</w:t>
      </w:r>
      <w:r w:rsidR="00870AE7">
        <w:rPr>
          <w:color w:val="000000" w:themeColor="text1"/>
        </w:rPr>
        <w:t>a</w:t>
      </w:r>
      <w:r>
        <w:rPr>
          <w:color w:val="000000" w:themeColor="text1"/>
        </w:rPr>
        <w:t xml:space="preserve"> vrše emitiranje radijskog i televizijskog programa, </w:t>
      </w:r>
      <w:r w:rsidRPr="005729B5">
        <w:rPr>
          <w:color w:val="000000" w:themeColor="text1"/>
        </w:rPr>
        <w:t>kroz nabavku prioritetne opreme</w:t>
      </w:r>
      <w:r w:rsidR="00233E11">
        <w:rPr>
          <w:color w:val="000000" w:themeColor="text1"/>
        </w:rPr>
        <w:t xml:space="preserve"> ili drug</w:t>
      </w:r>
      <w:r w:rsidR="00E01945">
        <w:rPr>
          <w:color w:val="000000" w:themeColor="text1"/>
        </w:rPr>
        <w:t>i materijal neophodan za rad</w:t>
      </w:r>
      <w:r w:rsidRPr="005729B5">
        <w:rPr>
          <w:color w:val="000000" w:themeColor="text1"/>
        </w:rPr>
        <w:t>,</w:t>
      </w:r>
      <w:r w:rsidR="00B74A5E">
        <w:rPr>
          <w:color w:val="000000" w:themeColor="text1"/>
        </w:rPr>
        <w:t xml:space="preserve"> </w:t>
      </w:r>
      <w:r w:rsidR="00570184">
        <w:rPr>
          <w:color w:val="000000" w:themeColor="text1"/>
        </w:rPr>
        <w:t xml:space="preserve">ili </w:t>
      </w:r>
      <w:r w:rsidR="0055177C">
        <w:rPr>
          <w:color w:val="000000" w:themeColor="text1"/>
        </w:rPr>
        <w:t xml:space="preserve">za </w:t>
      </w:r>
      <w:r w:rsidR="00570184">
        <w:rPr>
          <w:color w:val="000000" w:themeColor="text1"/>
        </w:rPr>
        <w:t xml:space="preserve">neke druge </w:t>
      </w:r>
      <w:r w:rsidR="0055177C">
        <w:rPr>
          <w:color w:val="000000" w:themeColor="text1"/>
        </w:rPr>
        <w:t>potrebe</w:t>
      </w:r>
      <w:r w:rsidR="00570184">
        <w:rPr>
          <w:color w:val="000000" w:themeColor="text1"/>
        </w:rPr>
        <w:t xml:space="preserve"> koji će doprinjeti </w:t>
      </w:r>
      <w:r w:rsidRPr="005729B5">
        <w:rPr>
          <w:color w:val="000000" w:themeColor="text1"/>
        </w:rPr>
        <w:t>povećanju stepena informisanosti građana na području Bosan</w:t>
      </w:r>
      <w:r w:rsidR="00B74A5E">
        <w:rPr>
          <w:color w:val="000000" w:themeColor="text1"/>
        </w:rPr>
        <w:t>sko-podrinjskog kantona Goražde. Ovim ciljom je planirano</w:t>
      </w:r>
      <w:r w:rsidR="00830917">
        <w:rPr>
          <w:color w:val="000000" w:themeColor="text1"/>
        </w:rPr>
        <w:t xml:space="preserve"> </w:t>
      </w:r>
      <w:r w:rsidR="00E903FA">
        <w:rPr>
          <w:color w:val="000000" w:themeColor="text1"/>
        </w:rPr>
        <w:t xml:space="preserve">pružanje podrške </w:t>
      </w:r>
      <w:r w:rsidR="00830917">
        <w:rPr>
          <w:color w:val="000000" w:themeColor="text1"/>
        </w:rPr>
        <w:t>javnim preduzećima sa prostora Bosansko-podr</w:t>
      </w:r>
      <w:r w:rsidR="00E01945">
        <w:rPr>
          <w:color w:val="000000" w:themeColor="text1"/>
        </w:rPr>
        <w:t>in</w:t>
      </w:r>
      <w:r w:rsidR="00830917">
        <w:rPr>
          <w:color w:val="000000" w:themeColor="text1"/>
        </w:rPr>
        <w:t>j</w:t>
      </w:r>
      <w:r w:rsidR="00E01945">
        <w:rPr>
          <w:color w:val="000000" w:themeColor="text1"/>
        </w:rPr>
        <w:t>s</w:t>
      </w:r>
      <w:r w:rsidR="00830917">
        <w:rPr>
          <w:color w:val="000000" w:themeColor="text1"/>
        </w:rPr>
        <w:t xml:space="preserve">kog kantona Goražde koja se bave </w:t>
      </w:r>
      <w:r w:rsidR="0061628A">
        <w:rPr>
          <w:color w:val="000000" w:themeColor="text1"/>
        </w:rPr>
        <w:t>zaštitom</w:t>
      </w:r>
      <w:r w:rsidR="002448F0">
        <w:rPr>
          <w:color w:val="000000" w:themeColor="text1"/>
        </w:rPr>
        <w:t>,</w:t>
      </w:r>
      <w:r w:rsidR="00BF2941">
        <w:rPr>
          <w:color w:val="000000" w:themeColor="text1"/>
        </w:rPr>
        <w:t xml:space="preserve"> </w:t>
      </w:r>
      <w:r w:rsidR="002448F0">
        <w:rPr>
          <w:color w:val="000000" w:themeColor="text1"/>
        </w:rPr>
        <w:t>brigom o</w:t>
      </w:r>
      <w:r w:rsidR="0061628A">
        <w:rPr>
          <w:color w:val="000000" w:themeColor="text1"/>
        </w:rPr>
        <w:t xml:space="preserve"> domaći</w:t>
      </w:r>
      <w:r w:rsidR="002448F0">
        <w:rPr>
          <w:color w:val="000000" w:themeColor="text1"/>
        </w:rPr>
        <w:t>m</w:t>
      </w:r>
      <w:r w:rsidR="0061628A">
        <w:rPr>
          <w:color w:val="000000" w:themeColor="text1"/>
        </w:rPr>
        <w:t xml:space="preserve"> životinja</w:t>
      </w:r>
      <w:r w:rsidR="002448F0">
        <w:rPr>
          <w:color w:val="000000" w:themeColor="text1"/>
        </w:rPr>
        <w:t>ma</w:t>
      </w:r>
      <w:r w:rsidR="0061628A">
        <w:rPr>
          <w:color w:val="000000" w:themeColor="text1"/>
        </w:rPr>
        <w:t>,</w:t>
      </w:r>
      <w:r w:rsidR="00E903FA">
        <w:rPr>
          <w:color w:val="000000" w:themeColor="text1"/>
        </w:rPr>
        <w:t xml:space="preserve"> </w:t>
      </w:r>
      <w:r w:rsidR="009608F6">
        <w:rPr>
          <w:color w:val="000000" w:themeColor="text1"/>
        </w:rPr>
        <w:t>kroz nabavku prioritetne opreme</w:t>
      </w:r>
      <w:r w:rsidR="0061628A">
        <w:rPr>
          <w:color w:val="000000" w:themeColor="text1"/>
        </w:rPr>
        <w:t>, razn</w:t>
      </w:r>
      <w:r w:rsidR="002448F0">
        <w:rPr>
          <w:color w:val="000000" w:themeColor="text1"/>
        </w:rPr>
        <w:t>e vrste</w:t>
      </w:r>
      <w:r w:rsidR="0051753D">
        <w:rPr>
          <w:color w:val="000000" w:themeColor="text1"/>
        </w:rPr>
        <w:t xml:space="preserve"> </w:t>
      </w:r>
      <w:r w:rsidR="0061628A">
        <w:rPr>
          <w:color w:val="000000" w:themeColor="text1"/>
        </w:rPr>
        <w:t xml:space="preserve">edukacija, opremanje radnih prostorija, održivosti kao i nabavkom materijala-repromaterijala za </w:t>
      </w:r>
      <w:r w:rsidR="009F6496">
        <w:rPr>
          <w:color w:val="000000" w:themeColor="text1"/>
        </w:rPr>
        <w:t>nesmetan rad preduzeća.</w:t>
      </w:r>
      <w:r w:rsidR="009608F6">
        <w:rPr>
          <w:color w:val="000000" w:themeColor="text1"/>
        </w:rPr>
        <w:t xml:space="preserve"> </w:t>
      </w:r>
    </w:p>
    <w:p w:rsidR="00036C04" w:rsidRPr="005729B5" w:rsidRDefault="00036C04" w:rsidP="00036C04">
      <w:pPr>
        <w:spacing w:before="120" w:after="120" w:line="312" w:lineRule="auto"/>
        <w:rPr>
          <w:b/>
        </w:rPr>
      </w:pPr>
      <w:r w:rsidRPr="005729B5">
        <w:rPr>
          <w:b/>
        </w:rPr>
        <w:t>4. POČETAK I VRIJEME IMPLEMENTACIJE PROGRAMA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t>Implementacija Programa za 202</w:t>
      </w:r>
      <w:r w:rsidR="00AF76A4">
        <w:rPr>
          <w:color w:val="000000" w:themeColor="text1"/>
        </w:rPr>
        <w:t>2</w:t>
      </w:r>
      <w:r w:rsidRPr="005729B5">
        <w:rPr>
          <w:color w:val="000000" w:themeColor="text1"/>
        </w:rPr>
        <w:t>. godinu počinje dobivanjem saglasnosti od strane Vlade Bosansko-podrinjskog kantona Goražde i trajaće do 31.12.202</w:t>
      </w:r>
      <w:r w:rsidR="00AF76A4">
        <w:rPr>
          <w:color w:val="000000" w:themeColor="text1"/>
        </w:rPr>
        <w:t>2</w:t>
      </w:r>
      <w:r w:rsidRPr="005729B5">
        <w:rPr>
          <w:color w:val="000000" w:themeColor="text1"/>
        </w:rPr>
        <w:t xml:space="preserve">. godine. </w:t>
      </w: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t xml:space="preserve">5. </w:t>
      </w:r>
      <w:r w:rsidRPr="005729B5">
        <w:rPr>
          <w:b/>
          <w:color w:val="000000" w:themeColor="text1"/>
        </w:rPr>
        <w:t>PLANIRANA SREDSTVA ZA PROVOĐENJE PROGRAMA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5.1.Visina sredstava za provođenje programa</w:t>
      </w:r>
      <w:r w:rsidRPr="005729B5">
        <w:rPr>
          <w:i/>
          <w:iCs/>
          <w:color w:val="000000" w:themeColor="text1"/>
        </w:rPr>
        <w:tab/>
      </w:r>
    </w:p>
    <w:p w:rsidR="00036C04" w:rsidRPr="005729B5" w:rsidRDefault="00036C04" w:rsidP="00036C04">
      <w:pPr>
        <w:spacing w:before="120" w:after="120" w:line="312" w:lineRule="auto"/>
        <w:ind w:firstLine="720"/>
        <w:jc w:val="both"/>
        <w:rPr>
          <w:color w:val="000000" w:themeColor="text1"/>
        </w:rPr>
      </w:pPr>
      <w:r w:rsidRPr="005729B5">
        <w:rPr>
          <w:color w:val="000000" w:themeColor="text1"/>
        </w:rPr>
        <w:t xml:space="preserve">Planirana sredstva za provođenje Programa utroška, definisana su Budžetom Bosansko-podrinjskog kantona u ukupnom iznosu od </w:t>
      </w:r>
      <w:r w:rsidR="00AF76A4">
        <w:rPr>
          <w:b/>
          <w:color w:val="000000" w:themeColor="text1"/>
        </w:rPr>
        <w:t>2</w:t>
      </w:r>
      <w:r w:rsidR="009F6496">
        <w:rPr>
          <w:b/>
          <w:color w:val="000000" w:themeColor="text1"/>
        </w:rPr>
        <w:t>0</w:t>
      </w:r>
      <w:r w:rsidRPr="005729B5">
        <w:rPr>
          <w:b/>
          <w:color w:val="000000" w:themeColor="text1"/>
        </w:rPr>
        <w:t>.000 KM</w:t>
      </w:r>
      <w:r w:rsidRPr="005729B5">
        <w:rPr>
          <w:color w:val="000000" w:themeColor="text1"/>
        </w:rPr>
        <w:t>. Sredstva za ove namjene nalaze se na ekonomskom kodu 614400 (HAP 001) – Subvencije  javnim  preduzećima.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  <w:color w:val="000000" w:themeColor="text1"/>
        </w:rPr>
      </w:pPr>
      <w:r w:rsidRPr="005729B5">
        <w:rPr>
          <w:i/>
          <w:iCs/>
          <w:color w:val="000000" w:themeColor="text1"/>
        </w:rPr>
        <w:t>5.2.Maksimalni budžet po komponentama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20"/>
        <w:jc w:val="both"/>
        <w:rPr>
          <w:color w:val="000000" w:themeColor="text1"/>
        </w:rPr>
      </w:pPr>
      <w:r w:rsidRPr="005729B5">
        <w:rPr>
          <w:color w:val="000000" w:themeColor="text1"/>
        </w:rPr>
        <w:t>Programom se utvrđuje visina, odnosno maksimalni iznos sredstava za svaki posebni cilj programa. Maksimalna visina sredstava za pojedinačni specifični cilj predstavlja jednu finansijsku komponentu programa.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20"/>
        <w:jc w:val="both"/>
        <w:rPr>
          <w:color w:val="000000" w:themeColor="text1"/>
        </w:rPr>
      </w:pPr>
      <w:r w:rsidRPr="005729B5">
        <w:rPr>
          <w:color w:val="000000" w:themeColor="text1"/>
        </w:rPr>
        <w:t xml:space="preserve">Za </w:t>
      </w:r>
      <w:r w:rsidR="00F7542D">
        <w:rPr>
          <w:color w:val="000000" w:themeColor="text1"/>
        </w:rPr>
        <w:t>pomenute komponente</w:t>
      </w:r>
      <w:r w:rsidRPr="005729B5">
        <w:rPr>
          <w:color w:val="000000" w:themeColor="text1"/>
        </w:rPr>
        <w:t xml:space="preserve"> definisan je  budžet:</w:t>
      </w:r>
    </w:p>
    <w:p w:rsidR="00036C04" w:rsidRPr="00F7542D" w:rsidRDefault="00036C04" w:rsidP="00036C04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Cs/>
          <w:color w:val="000000" w:themeColor="text1"/>
        </w:rPr>
      </w:pPr>
      <w:r w:rsidRPr="005729B5">
        <w:t xml:space="preserve">Podrška </w:t>
      </w:r>
      <w:r>
        <w:t xml:space="preserve">Javnim preduzećima, koji vrše emitiranje radijskog i televizijskog programa </w:t>
      </w:r>
      <w:r w:rsidR="00D971B7">
        <w:t xml:space="preserve">za unapređenje </w:t>
      </w:r>
      <w:r w:rsidRPr="005729B5">
        <w:t>rada</w:t>
      </w:r>
      <w:r w:rsidR="00D971B7">
        <w:t xml:space="preserve"> preduzeća,</w:t>
      </w:r>
      <w:r w:rsidRPr="005729B5">
        <w:t xml:space="preserve"> nabavk</w:t>
      </w:r>
      <w:r>
        <w:t>e</w:t>
      </w:r>
      <w:r w:rsidRPr="005729B5">
        <w:t xml:space="preserve"> opreme</w:t>
      </w:r>
      <w:r w:rsidR="009F6496">
        <w:t xml:space="preserve">,kao </w:t>
      </w:r>
      <w:r w:rsidR="00B15878">
        <w:t>i neke druge vrste opremanja</w:t>
      </w:r>
      <w:r w:rsidR="00D971B7">
        <w:t xml:space="preserve"> u cilju </w:t>
      </w:r>
      <w:r w:rsidR="001A4572">
        <w:t>promocije i informisanja gr</w:t>
      </w:r>
      <w:r w:rsidR="00F7542D">
        <w:t>ađana na području Bosansko-podri</w:t>
      </w:r>
      <w:r w:rsidR="001A4572">
        <w:t>njskog kantona Goražde</w:t>
      </w:r>
      <w:r w:rsidRPr="005729B5">
        <w:t xml:space="preserve">. </w:t>
      </w:r>
      <w:r w:rsidR="00F7542D">
        <w:t xml:space="preserve">Po ovoj komponenti planiran je budžet od </w:t>
      </w:r>
      <w:r w:rsidRPr="00F7542D">
        <w:rPr>
          <w:bCs/>
          <w:color w:val="000000" w:themeColor="text1"/>
        </w:rPr>
        <w:t xml:space="preserve">                                     </w:t>
      </w:r>
      <w:r w:rsidR="00E77990" w:rsidRPr="00F7542D">
        <w:rPr>
          <w:bCs/>
          <w:color w:val="000000" w:themeColor="text1"/>
        </w:rPr>
        <w:t>15</w:t>
      </w:r>
      <w:r w:rsidRPr="00F7542D">
        <w:rPr>
          <w:bCs/>
          <w:color w:val="000000" w:themeColor="text1"/>
        </w:rPr>
        <w:t>.000 KM</w:t>
      </w:r>
    </w:p>
    <w:p w:rsidR="00043E2C" w:rsidRPr="00F7542D" w:rsidRDefault="00036C04" w:rsidP="00043E2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Cs/>
          <w:color w:val="000000" w:themeColor="text1"/>
        </w:rPr>
      </w:pPr>
      <w:r>
        <w:t>Podrška</w:t>
      </w:r>
      <w:r w:rsidR="00E77990">
        <w:t xml:space="preserve"> Javnim preduzećima </w:t>
      </w:r>
      <w:r w:rsidR="00F3252F">
        <w:t>s</w:t>
      </w:r>
      <w:r>
        <w:t>a područja BPK Goražde</w:t>
      </w:r>
      <w:r w:rsidR="00E77990">
        <w:t xml:space="preserve"> koja se bave zaštitom</w:t>
      </w:r>
      <w:r w:rsidR="00BF2941">
        <w:t>,brigom</w:t>
      </w:r>
      <w:r w:rsidR="00E77990">
        <w:t xml:space="preserve"> domaćih životinja</w:t>
      </w:r>
      <w:r w:rsidR="000B3936">
        <w:t>, kroz razne vrste edukacija, opremanja</w:t>
      </w:r>
      <w:r w:rsidR="001C1084">
        <w:t xml:space="preserve"> radnih prostorija, </w:t>
      </w:r>
      <w:r w:rsidR="000B3936">
        <w:t xml:space="preserve">odnosno održivosti ili </w:t>
      </w:r>
      <w:r w:rsidR="00D660FD" w:rsidRPr="00D660FD">
        <w:rPr>
          <w:color w:val="000000" w:themeColor="text1"/>
        </w:rPr>
        <w:t xml:space="preserve">nabavkom materijala-repromaterijala za nesmetan rad preduzeća. </w:t>
      </w:r>
      <w:r w:rsidR="00043E2C">
        <w:t xml:space="preserve">Po ovoj komponenti planiran je budžet od </w:t>
      </w:r>
      <w:r w:rsidR="00043E2C" w:rsidRPr="00F7542D">
        <w:rPr>
          <w:bCs/>
          <w:color w:val="000000" w:themeColor="text1"/>
        </w:rPr>
        <w:t xml:space="preserve">                                     5.000 KM</w:t>
      </w:r>
    </w:p>
    <w:p w:rsidR="00036C04" w:rsidRPr="005729B5" w:rsidRDefault="00A20AFF" w:rsidP="00036C04">
      <w:pPr>
        <w:spacing w:before="120" w:after="120" w:line="312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 xml:space="preserve"> </w:t>
      </w:r>
      <w:r w:rsidR="00036C04" w:rsidRPr="005729B5">
        <w:rPr>
          <w:i/>
          <w:iCs/>
          <w:color w:val="000000" w:themeColor="text1"/>
        </w:rPr>
        <w:t>5.3.Redistribucija sredstava</w:t>
      </w:r>
    </w:p>
    <w:p w:rsidR="008E17D4" w:rsidRPr="00AF2CB0" w:rsidRDefault="008E17D4" w:rsidP="008E17D4">
      <w:pPr>
        <w:pStyle w:val="ListParagraph"/>
        <w:numPr>
          <w:ilvl w:val="0"/>
          <w:numId w:val="14"/>
        </w:numPr>
        <w:spacing w:before="120" w:after="120" w:line="312" w:lineRule="auto"/>
        <w:ind w:left="0" w:right="283" w:firstLine="0"/>
        <w:jc w:val="both"/>
      </w:pPr>
      <w:r w:rsidRPr="00AF2CB0">
        <w:t>U slučaju potrebe, Ministarstvo za privredu može napraviti redistribuciju sredstava sa jedne na drugu finansijsku komponentu u iznosu do maksimalno 25 procenata od iznosa komponente sa koje se sredstva prenose. Redistribuciju ovih sredstava Ministarstvo za privredu će izvršiti odlukom ministra za privredu bez saglasnosti Vlade</w:t>
      </w:r>
      <w:r>
        <w:t xml:space="preserve"> BPK Goražde</w:t>
      </w:r>
      <w:r w:rsidRPr="00AF2CB0">
        <w:t>.</w:t>
      </w:r>
    </w:p>
    <w:p w:rsidR="008E17D4" w:rsidRPr="00AF2CB0" w:rsidRDefault="008E17D4" w:rsidP="008E17D4">
      <w:pPr>
        <w:pStyle w:val="ListParagraph"/>
        <w:numPr>
          <w:ilvl w:val="0"/>
          <w:numId w:val="14"/>
        </w:numPr>
        <w:spacing w:before="120" w:after="120" w:line="312" w:lineRule="auto"/>
        <w:ind w:left="0" w:right="283" w:firstLine="0"/>
        <w:jc w:val="both"/>
      </w:pPr>
      <w:r w:rsidRPr="00AF2CB0">
        <w:t>U slučaju izmjene ukupne vrijednosti programa koja je rezultat Izmjene i dopune Budžeta Bosansko-podrinjskog kantona Goražde, preusmjerenja sa drugih kodova ili na druge kodove unutar budžeta Ministarstva za privredu  i preusmjeravanja između budžetskih korisnika, Ministarstvo za  privredu  se ovlašćuje da  može  vršiti  izmjenu  i  dopunu  Programa u skladu sa potrebama na osnovu kojih su donešene Odluke o preusmjeravanju, povećanju ili smanjenju ukupne vrijednosti Programa uz saglasnost Vlade</w:t>
      </w:r>
      <w:r>
        <w:t xml:space="preserve"> BPK Goražde</w:t>
      </w:r>
      <w:r w:rsidRPr="00AF2CB0">
        <w:t>.</w:t>
      </w:r>
    </w:p>
    <w:p w:rsidR="00036C04" w:rsidRPr="005729B5" w:rsidRDefault="00036C04" w:rsidP="00036C04">
      <w:pPr>
        <w:spacing w:before="120" w:after="120" w:line="312" w:lineRule="auto"/>
        <w:rPr>
          <w:b/>
        </w:rPr>
      </w:pPr>
      <w:r w:rsidRPr="005729B5">
        <w:rPr>
          <w:b/>
        </w:rPr>
        <w:t>6. KRITERIJI ZA RASPODJELU SREDSTAVA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</w:rPr>
        <w:t xml:space="preserve">6.1. </w:t>
      </w:r>
      <w:r w:rsidRPr="005729B5">
        <w:rPr>
          <w:i/>
          <w:iCs/>
          <w:color w:val="000000" w:themeColor="text1"/>
        </w:rPr>
        <w:t>Način raspodjele sredstava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20"/>
        <w:jc w:val="both"/>
      </w:pPr>
      <w:r w:rsidRPr="005729B5">
        <w:t>Raspodjela sredstava vrši se dodjelom državne pomoći u novcu i može biti dod</w:t>
      </w:r>
      <w:r>
        <w:t>i</w:t>
      </w:r>
      <w:r w:rsidRPr="005729B5">
        <w:t>jeljena jednom ili više puta u skladu sa odredbama ovog programa.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20"/>
        <w:jc w:val="both"/>
      </w:pPr>
      <w:r w:rsidRPr="005729B5">
        <w:t>Raspodjela sredstava u slučaju dodjele državne pomoći u novcu vršiće se na osnovu odobrenih projekata u skladu sa programom. Konačne Odluke o dodjeli državne pomoći za pojedinačne projekte, aktivnosti i mjere sredstava iz ovog Programa na prijedlog Ministarstva za privredu donosi Vlada Bosansko-podrinjskog kantona Goražde.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</w:rPr>
      </w:pPr>
      <w:r w:rsidRPr="005729B5">
        <w:rPr>
          <w:i/>
        </w:rPr>
        <w:t xml:space="preserve"> 6.2.Kriteriji za raspodjelu</w:t>
      </w:r>
    </w:p>
    <w:p w:rsidR="00036C04" w:rsidRPr="005729B5" w:rsidRDefault="00036C04" w:rsidP="00036C04">
      <w:pPr>
        <w:pStyle w:val="ListParagraph"/>
        <w:numPr>
          <w:ilvl w:val="0"/>
          <w:numId w:val="11"/>
        </w:numPr>
        <w:spacing w:before="120" w:after="120" w:line="312" w:lineRule="auto"/>
        <w:jc w:val="both"/>
      </w:pPr>
      <w:r w:rsidRPr="005729B5">
        <w:t>Sredstva iz budžeta će se dodjeljivati korisni</w:t>
      </w:r>
      <w:r>
        <w:t>ku</w:t>
      </w:r>
      <w:r w:rsidRPr="005729B5">
        <w:t xml:space="preserve"> srazmjerno njihovom doprinosu ostvarivanju opštih i posebnih ciljeva i očekivanih rezultata programa.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360"/>
        <w:jc w:val="both"/>
      </w:pPr>
      <w:r w:rsidRPr="005729B5">
        <w:t>(2)  Za ocjenjivanje doprinosa</w:t>
      </w:r>
      <w:r>
        <w:t>,</w:t>
      </w:r>
      <w:r w:rsidRPr="005729B5">
        <w:t xml:space="preserve"> ostvarivanja ciljeva</w:t>
      </w:r>
      <w:r>
        <w:t>,</w:t>
      </w:r>
      <w:r w:rsidRPr="005729B5">
        <w:t xml:space="preserve"> primjenjivat će se kriteriji koji su definisani za potrebe rangiranja aplikacija kako bi se osiguralo da prioriteti programa budu ispunjeni a stanje u javnim preduzećima poboljšano, u skladu sa programom. 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/>
        <w:jc w:val="both"/>
      </w:pPr>
      <w:r w:rsidRPr="005729B5">
        <w:t xml:space="preserve">       (3)  Kriteriji po osnovu kojeg će se vršiti raspodjela sredstava programa:</w:t>
      </w:r>
    </w:p>
    <w:p w:rsidR="00036C04" w:rsidRPr="005729B5" w:rsidRDefault="00036C04" w:rsidP="00036C04">
      <w:pPr>
        <w:spacing w:before="120" w:after="120" w:line="312" w:lineRule="auto"/>
      </w:pPr>
      <w:r w:rsidRPr="005729B5">
        <w:t xml:space="preserve">             a) ispunjenje općih uslova ;</w:t>
      </w:r>
    </w:p>
    <w:p w:rsidR="00036C04" w:rsidRPr="005729B5" w:rsidRDefault="00036C04" w:rsidP="00036C04">
      <w:pPr>
        <w:spacing w:before="120" w:after="120" w:line="312" w:lineRule="auto"/>
      </w:pPr>
      <w:r w:rsidRPr="005729B5">
        <w:t xml:space="preserve">             b) </w:t>
      </w:r>
      <w:r>
        <w:t>i</w:t>
      </w:r>
      <w:r w:rsidRPr="005729B5">
        <w:t>spunjenje posebnih uslova;</w:t>
      </w:r>
    </w:p>
    <w:p w:rsidR="00036C04" w:rsidRPr="005729B5" w:rsidRDefault="00036C04" w:rsidP="00036C04">
      <w:pPr>
        <w:spacing w:before="120" w:after="120" w:line="312" w:lineRule="auto"/>
      </w:pPr>
      <w:r w:rsidRPr="005729B5">
        <w:t xml:space="preserve">             c) rezultati procesa apliciranja, selekcije i evaluacije projekta.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6.3.  Opći uslovi za učestvovanje u programu</w:t>
      </w:r>
    </w:p>
    <w:p w:rsidR="00036C04" w:rsidRPr="005729B5" w:rsidRDefault="00036C04" w:rsidP="00036C04">
      <w:pPr>
        <w:spacing w:before="120" w:after="120" w:line="312" w:lineRule="auto"/>
        <w:jc w:val="both"/>
      </w:pPr>
      <w:r w:rsidRPr="005729B5">
        <w:tab/>
        <w:t>U implementaciji Programa primjenjivaće se procedure koje omogućavaju ravnopravno učestvovanje u Programu javnih preduzeća koja kumulativno ispunjavaju slijedeće opće uslove:</w:t>
      </w:r>
    </w:p>
    <w:p w:rsidR="00036C04" w:rsidRPr="005729B5" w:rsidRDefault="00036C04" w:rsidP="00036C04">
      <w:pPr>
        <w:pStyle w:val="ListParagraph"/>
        <w:numPr>
          <w:ilvl w:val="0"/>
          <w:numId w:val="12"/>
        </w:numPr>
      </w:pPr>
      <w:r w:rsidRPr="005729B5">
        <w:lastRenderedPageBreak/>
        <w:t>da su registrovana kao javna preduzeća u skladu sa odredbama  Zakona o  javnim preduzećima (Sl.novine FBiH,broj: 8/05,81/08 i 22/09);</w:t>
      </w:r>
    </w:p>
    <w:p w:rsidR="00036C04" w:rsidRPr="005729B5" w:rsidRDefault="00036C04" w:rsidP="00036C04">
      <w:pPr>
        <w:pStyle w:val="ListParagraph"/>
        <w:numPr>
          <w:ilvl w:val="0"/>
          <w:numId w:val="12"/>
        </w:numPr>
      </w:pPr>
      <w:r w:rsidRPr="005729B5">
        <w:t>da imaju registraciju i sjedište na prostoru Bosansko-podrinjskog kantona Goražde,</w:t>
      </w:r>
    </w:p>
    <w:p w:rsidR="00036C04" w:rsidRPr="005729B5" w:rsidRDefault="00036C04" w:rsidP="00036C04">
      <w:pPr>
        <w:pStyle w:val="ListParagraph"/>
        <w:numPr>
          <w:ilvl w:val="0"/>
          <w:numId w:val="12"/>
        </w:numPr>
      </w:pPr>
      <w:r w:rsidRPr="005729B5">
        <w:t xml:space="preserve">da obavljaju registrovanu djelatnost na prostoru Bosansko-podrinjskog kantona Goražde, </w:t>
      </w:r>
    </w:p>
    <w:p w:rsidR="00036C04" w:rsidRPr="005729B5" w:rsidRDefault="00036C04" w:rsidP="00036C04">
      <w:pPr>
        <w:pStyle w:val="ListParagraph"/>
        <w:numPr>
          <w:ilvl w:val="0"/>
          <w:numId w:val="12"/>
        </w:numPr>
      </w:pPr>
      <w:r w:rsidRPr="005729B5">
        <w:t>da su registrovana minimalno 2 godine od dana podnošenja prijava za učestvovanje u Programu.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  <w:color w:val="1D1B11" w:themeColor="background2" w:themeShade="1A"/>
        </w:rPr>
      </w:pPr>
      <w:r w:rsidRPr="005729B5">
        <w:rPr>
          <w:i/>
          <w:color w:val="1D1B11" w:themeColor="background2" w:themeShade="1A"/>
        </w:rPr>
        <w:t>6.4. Posebni uslovi za učestvovanje u programu</w:t>
      </w:r>
    </w:p>
    <w:p w:rsidR="00036C04" w:rsidRPr="005729B5" w:rsidRDefault="00036C04" w:rsidP="00036C04">
      <w:pPr>
        <w:spacing w:before="120" w:after="120" w:line="312" w:lineRule="auto"/>
        <w:jc w:val="both"/>
        <w:rPr>
          <w:color w:val="1D1B11" w:themeColor="background2" w:themeShade="1A"/>
        </w:rPr>
      </w:pPr>
      <w:r w:rsidRPr="005729B5">
        <w:rPr>
          <w:color w:val="1D1B11" w:themeColor="background2" w:themeShade="1A"/>
        </w:rPr>
        <w:t xml:space="preserve">Za svaki poseban cilj, pored opštih primjenjivaće se posebni uslovi za učestvovanje u programu. </w:t>
      </w:r>
    </w:p>
    <w:p w:rsidR="00036C04" w:rsidRPr="0092454D" w:rsidRDefault="00514BD5" w:rsidP="00036C04">
      <w:pPr>
        <w:pStyle w:val="ListParagraph"/>
        <w:numPr>
          <w:ilvl w:val="0"/>
          <w:numId w:val="13"/>
        </w:numPr>
        <w:rPr>
          <w:color w:val="FF0000"/>
        </w:rPr>
      </w:pPr>
      <w:r>
        <w:t>d</w:t>
      </w:r>
      <w:r w:rsidR="00036C04" w:rsidRPr="005729B5">
        <w:t>a se ne nalaze u procesu stečaja ili likvidacije ili blokade računa</w:t>
      </w:r>
      <w:r w:rsidR="00036C04" w:rsidRPr="006711F1">
        <w:t>;</w:t>
      </w:r>
    </w:p>
    <w:p w:rsidR="00036C04" w:rsidRPr="00DC3980" w:rsidRDefault="00036C04" w:rsidP="00036C0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C3980">
        <w:rPr>
          <w:color w:val="000000" w:themeColor="text1"/>
        </w:rPr>
        <w:t>da nemaju neizmirenih obaveza za poreze i doprinose, osim obaveza koje su obuhvaćene ugovorom o reprogramiranju obaveza</w:t>
      </w:r>
      <w:r w:rsidR="006711F1">
        <w:rPr>
          <w:color w:val="000000" w:themeColor="text1"/>
        </w:rPr>
        <w:t>;</w:t>
      </w:r>
    </w:p>
    <w:p w:rsidR="00036C04" w:rsidRPr="00DC3980" w:rsidRDefault="00036C04" w:rsidP="00036C0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C3980">
        <w:rPr>
          <w:color w:val="000000" w:themeColor="text1"/>
        </w:rPr>
        <w:t>da su namjenski utrošili sredstva odobrena od strane Vlade Bosansko-podrinjskog kantona u periodu od protekle tri godine</w:t>
      </w:r>
      <w:r w:rsidR="006711F1">
        <w:rPr>
          <w:color w:val="000000" w:themeColor="text1"/>
        </w:rPr>
        <w:t>,</w:t>
      </w:r>
      <w:r w:rsidRPr="00DC3980">
        <w:rPr>
          <w:color w:val="000000" w:themeColor="text1"/>
        </w:rPr>
        <w:t xml:space="preserve"> ukoliko im je takva pomoć dodijeljena,</w:t>
      </w:r>
    </w:p>
    <w:p w:rsidR="00036C04" w:rsidRPr="00DC3980" w:rsidRDefault="00036C04" w:rsidP="00036C0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DC3980">
        <w:rPr>
          <w:color w:val="000000" w:themeColor="text1"/>
        </w:rPr>
        <w:t>da su ispunile ugovorne obaveze po odobrenim grantovima Vlade Bosansko-podrinjskog   kantona ukoliko su ih dobili u zadnje tri budžetske godine.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6.5.Kandidovanje prijedloga projekta, za sredstvima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  <w:rPr>
          <w:color w:val="000000" w:themeColor="text1"/>
        </w:rPr>
      </w:pPr>
      <w:r w:rsidRPr="005729B5">
        <w:rPr>
          <w:color w:val="000000" w:themeColor="text1"/>
        </w:rPr>
        <w:t xml:space="preserve">Prijedlozi projekata za sredstvima dostavljaju se u aplikacionom obrascu za sredstvima nakon </w:t>
      </w:r>
      <w:r w:rsidRPr="00C23F91">
        <w:rPr>
          <w:color w:val="000000" w:themeColor="text1"/>
        </w:rPr>
        <w:t>objavljivanja Javnog poziva</w:t>
      </w:r>
      <w:r w:rsidRPr="005729B5">
        <w:rPr>
          <w:color w:val="000000" w:themeColor="text1"/>
        </w:rPr>
        <w:t xml:space="preserve">, koji se raspisuje u skladu sa odredbama programa. </w:t>
      </w:r>
    </w:p>
    <w:p w:rsidR="00036C04" w:rsidRPr="005729B5" w:rsidRDefault="00036C04" w:rsidP="00036C04">
      <w:pPr>
        <w:spacing w:before="120" w:after="120" w:line="312" w:lineRule="auto"/>
        <w:jc w:val="both"/>
        <w:rPr>
          <w:color w:val="000000" w:themeColor="text1"/>
        </w:rPr>
      </w:pPr>
      <w:r w:rsidRPr="005729B5">
        <w:rPr>
          <w:color w:val="000000" w:themeColor="text1"/>
        </w:rPr>
        <w:tab/>
        <w:t>Pravilno popunjavanje propisane forme omogućava da se svi aspekti prijedloga projekata, objektivno selektiraju i procjene.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  <w:rPr>
          <w:color w:val="000000" w:themeColor="text1"/>
        </w:rPr>
      </w:pPr>
      <w:r w:rsidRPr="005729B5">
        <w:rPr>
          <w:color w:val="000000" w:themeColor="text1"/>
        </w:rPr>
        <w:t>Svi prijedlozi projekata procjenjuju se u skladu sa procedurama apliciranja, selekcije, evaluacije i rangiranja.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  <w:iCs/>
          <w:color w:val="000000" w:themeColor="text1"/>
        </w:rPr>
      </w:pPr>
      <w:r w:rsidRPr="005729B5">
        <w:rPr>
          <w:b/>
          <w:bCs/>
          <w:color w:val="000000" w:themeColor="text1"/>
        </w:rPr>
        <w:t xml:space="preserve">7. PROCEDURE APLICIRANJA,SELEKCIJE I EVALUACIJE PROJEKATA 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7.1. Aplikanti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t>Lica  koja  ispunjavaju opšte uslove za učestvovanje u programu i koja u formi propisanoj od strane Ministarstva za privredu Bosansko-podrinjskog kantona dostave prijedlog projekata, za sredstvima imaju  status  aplikanta.</w:t>
      </w:r>
    </w:p>
    <w:p w:rsidR="00036C04" w:rsidRPr="00DC3980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DC3980">
        <w:rPr>
          <w:color w:val="000000" w:themeColor="text1"/>
        </w:rPr>
        <w:t>Javni poziv</w:t>
      </w:r>
      <w:r>
        <w:rPr>
          <w:color w:val="000000" w:themeColor="text1"/>
        </w:rPr>
        <w:t xml:space="preserve"> se raspisuje u roku od 10 </w:t>
      </w:r>
      <w:r w:rsidRPr="00DC3980">
        <w:rPr>
          <w:color w:val="000000" w:themeColor="text1"/>
        </w:rPr>
        <w:t>dana od dana dobivanja saglasnost koja je propisana programom. Javni poziv minimalno sadrži sažetak svrhe, opšteg i posebnog cilja, način raspodjele i rokove za dostavljanje aplikacije.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DC3980">
        <w:rPr>
          <w:color w:val="000000" w:themeColor="text1"/>
        </w:rPr>
        <w:t xml:space="preserve">Javni poziv se </w:t>
      </w:r>
      <w:r w:rsidRPr="005729B5">
        <w:rPr>
          <w:color w:val="000000" w:themeColor="text1"/>
        </w:rPr>
        <w:t>objavljuje na internet stranici Vlade Bosansko-podrinjskog kantona Goražde i u jednom ili više elektronskih medija.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7.2.Kandidovanje  prijedloga  projekata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t xml:space="preserve">Aplikant  može  kandidovati  prijedlog  projekta u  kojem  je  planirano  sufinansiranje troškova projekta iz sredstava programa.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lastRenderedPageBreak/>
        <w:t>Aplikant  može  dostaviti  samo jedan prijedlog  projekta  u  okviru  jednog  specifičnog  cilja.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color w:val="000000" w:themeColor="text1"/>
        </w:rPr>
      </w:pPr>
      <w:r w:rsidRPr="005729B5">
        <w:rPr>
          <w:color w:val="000000" w:themeColor="text1"/>
        </w:rPr>
        <w:tab/>
      </w:r>
      <w:r w:rsidRPr="002C74D5">
        <w:rPr>
          <w:color w:val="000000" w:themeColor="text1"/>
        </w:rPr>
        <w:t>Vlastito učešće u</w:t>
      </w:r>
      <w:r w:rsidRPr="008F509C">
        <w:rPr>
          <w:color w:val="FF0000"/>
          <w:u w:val="single"/>
        </w:rPr>
        <w:t xml:space="preserve"> </w:t>
      </w:r>
      <w:r w:rsidRPr="005729B5">
        <w:rPr>
          <w:color w:val="000000" w:themeColor="text1"/>
        </w:rPr>
        <w:t>u finansiranju projekta</w:t>
      </w:r>
      <w:r>
        <w:rPr>
          <w:color w:val="000000" w:themeColor="text1"/>
        </w:rPr>
        <w:t xml:space="preserve"> nije obavezujuće</w:t>
      </w:r>
      <w:r w:rsidRPr="005729B5">
        <w:rPr>
          <w:color w:val="000000" w:themeColor="text1"/>
        </w:rPr>
        <w:t xml:space="preserve">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  <w:rPr>
          <w:color w:val="000000" w:themeColor="text1"/>
        </w:rPr>
      </w:pPr>
      <w:r w:rsidRPr="005729B5">
        <w:rPr>
          <w:color w:val="000000" w:themeColor="text1"/>
        </w:rPr>
        <w:t>Prijedlozi  projekata  čiji  ukupni  iznos  prelazi  maksimalni  iznos projekta, u kojima je planirani grant veći ili manji od utvrđene visine</w:t>
      </w:r>
      <w:r>
        <w:rPr>
          <w:color w:val="000000" w:themeColor="text1"/>
        </w:rPr>
        <w:t xml:space="preserve"> </w:t>
      </w:r>
      <w:r w:rsidRPr="005729B5">
        <w:rPr>
          <w:color w:val="000000" w:themeColor="text1"/>
        </w:rPr>
        <w:t>će u fazi administrativne provjere biti automatski odbijeni kao neprihvatljivi za  finansiranje.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color w:val="000000" w:themeColor="text1"/>
        </w:rPr>
      </w:pPr>
      <w:r w:rsidRPr="005729B5">
        <w:rPr>
          <w:color w:val="000000" w:themeColor="text1"/>
        </w:rPr>
        <w:t xml:space="preserve">Tabela 2: </w:t>
      </w:r>
    </w:p>
    <w:p w:rsidR="00036C04" w:rsidRPr="005729B5" w:rsidRDefault="00036C04" w:rsidP="00036C04">
      <w:pPr>
        <w:spacing w:before="120" w:after="120" w:line="312" w:lineRule="auto"/>
        <w:jc w:val="center"/>
        <w:rPr>
          <w:color w:val="000000" w:themeColor="text1"/>
        </w:rPr>
      </w:pPr>
      <w:r w:rsidRPr="005729B5">
        <w:rPr>
          <w:color w:val="000000" w:themeColor="text1"/>
        </w:rPr>
        <w:t>Pregled minimanih i maksimalnih iznosa grant sredstava za finansiranje iz programa</w:t>
      </w:r>
    </w:p>
    <w:tbl>
      <w:tblPr>
        <w:tblW w:w="9792" w:type="dxa"/>
        <w:jc w:val="center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5240"/>
        <w:gridCol w:w="1463"/>
        <w:gridCol w:w="1463"/>
        <w:gridCol w:w="1626"/>
      </w:tblGrid>
      <w:tr w:rsidR="00036C04" w:rsidRPr="005729B5" w:rsidTr="009608F6">
        <w:trPr>
          <w:trHeight w:val="795"/>
          <w:jc w:val="center"/>
        </w:trPr>
        <w:tc>
          <w:tcPr>
            <w:tcW w:w="524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036C04" w:rsidRPr="005729B5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036C04" w:rsidRPr="005729B5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036C04" w:rsidRPr="005729B5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  <w:r w:rsidRPr="005729B5">
              <w:rPr>
                <w:color w:val="000000" w:themeColor="text1"/>
              </w:rPr>
              <w:t>Maksimalni iznos granta</w:t>
            </w:r>
          </w:p>
        </w:tc>
        <w:tc>
          <w:tcPr>
            <w:tcW w:w="162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036C04" w:rsidRPr="005729B5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36C04" w:rsidRPr="005729B5" w:rsidTr="009608F6">
        <w:trPr>
          <w:trHeight w:val="90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036C04" w:rsidRDefault="00036C04" w:rsidP="009608F6">
            <w:pPr>
              <w:spacing w:before="120" w:after="120" w:line="312" w:lineRule="auto"/>
              <w:jc w:val="both"/>
            </w:pPr>
            <w:r w:rsidRPr="005729B5">
              <w:rPr>
                <w:color w:val="000000" w:themeColor="text1"/>
              </w:rPr>
              <w:t>1.</w:t>
            </w:r>
            <w:r w:rsidRPr="005729B5">
              <w:t xml:space="preserve">Podrška </w:t>
            </w:r>
            <w:r>
              <w:t xml:space="preserve">Javnim preduzećima </w:t>
            </w:r>
            <w:r w:rsidR="00B756FD">
              <w:t>ko</w:t>
            </w:r>
            <w:r>
              <w:t xml:space="preserve">ji vrše emitiranje radijskog i televizijskog programa </w:t>
            </w:r>
            <w:r w:rsidRPr="005729B5">
              <w:t xml:space="preserve">u unapređenju rada i nabavke </w:t>
            </w:r>
            <w:r>
              <w:t>neophodne opreme</w:t>
            </w:r>
          </w:p>
          <w:p w:rsidR="00036C04" w:rsidRPr="005729B5" w:rsidRDefault="00036C04" w:rsidP="00F712B6">
            <w:pPr>
              <w:spacing w:before="120" w:after="120" w:line="312" w:lineRule="auto"/>
              <w:jc w:val="both"/>
              <w:rPr>
                <w:bCs/>
                <w:color w:val="000000" w:themeColor="text1"/>
              </w:rPr>
            </w:pPr>
            <w:r>
              <w:t xml:space="preserve">2. Podrška </w:t>
            </w:r>
            <w:r w:rsidR="00B756FD">
              <w:t xml:space="preserve">Javnim preduzećima </w:t>
            </w:r>
            <w:r w:rsidR="00E92362">
              <w:t xml:space="preserve">sa </w:t>
            </w:r>
            <w:r>
              <w:t xml:space="preserve">područja BPK Goražde </w:t>
            </w:r>
            <w:r w:rsidR="00004BD1">
              <w:t>koj</w:t>
            </w:r>
            <w:r w:rsidR="00B07AD9">
              <w:t>a</w:t>
            </w:r>
            <w:r w:rsidR="00004BD1">
              <w:t xml:space="preserve"> vrše zaštitu</w:t>
            </w:r>
            <w:r w:rsidR="0084417D">
              <w:t xml:space="preserve"> kao i</w:t>
            </w:r>
            <w:r w:rsidR="00004BD1">
              <w:t xml:space="preserve"> </w:t>
            </w:r>
            <w:r w:rsidR="00F712B6">
              <w:t>brigu o</w:t>
            </w:r>
            <w:r w:rsidR="00004BD1">
              <w:t xml:space="preserve"> domaći</w:t>
            </w:r>
            <w:r w:rsidR="00F712B6">
              <w:t>m</w:t>
            </w:r>
            <w:r w:rsidR="00004BD1">
              <w:t xml:space="preserve"> životinja</w:t>
            </w:r>
            <w:r w:rsidR="00F712B6">
              <w:t>ma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036C04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036C04" w:rsidRPr="005729B5" w:rsidRDefault="00036C04" w:rsidP="009608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  <w:p w:rsidR="00036C04" w:rsidRPr="005729B5" w:rsidRDefault="00036C04" w:rsidP="009608F6"/>
          <w:p w:rsidR="00036C04" w:rsidRPr="005729B5" w:rsidRDefault="00036C04" w:rsidP="009608F6"/>
          <w:p w:rsidR="00036C04" w:rsidRDefault="00F712B6" w:rsidP="009608F6">
            <w:pPr>
              <w:jc w:val="center"/>
            </w:pPr>
            <w:r>
              <w:t>do</w:t>
            </w:r>
          </w:p>
          <w:p w:rsidR="00036C04" w:rsidRPr="005729B5" w:rsidRDefault="00036C04" w:rsidP="009608F6">
            <w:pPr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036C04" w:rsidRDefault="00036C04" w:rsidP="009608F6">
            <w:pPr>
              <w:spacing w:line="276" w:lineRule="auto"/>
              <w:rPr>
                <w:color w:val="000000" w:themeColor="text1"/>
              </w:rPr>
            </w:pPr>
          </w:p>
          <w:p w:rsidR="00036C04" w:rsidRPr="005729B5" w:rsidRDefault="00B756FD" w:rsidP="009608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36C04">
              <w:rPr>
                <w:color w:val="000000" w:themeColor="text1"/>
              </w:rPr>
              <w:t>.000</w:t>
            </w:r>
            <w:r w:rsidR="00036C04" w:rsidRPr="005729B5">
              <w:rPr>
                <w:color w:val="000000" w:themeColor="text1"/>
              </w:rPr>
              <w:t>KM</w:t>
            </w:r>
          </w:p>
          <w:p w:rsidR="00036C04" w:rsidRPr="005729B5" w:rsidRDefault="00036C04" w:rsidP="009608F6"/>
          <w:p w:rsidR="00036C04" w:rsidRDefault="00036C04" w:rsidP="009608F6"/>
          <w:p w:rsidR="00036C04" w:rsidRPr="005729B5" w:rsidRDefault="00E92362" w:rsidP="009608F6">
            <w:r>
              <w:t>5.000</w:t>
            </w:r>
            <w:r w:rsidR="00036C04">
              <w:t xml:space="preserve"> KM</w:t>
            </w:r>
          </w:p>
          <w:p w:rsidR="00036C04" w:rsidRPr="005729B5" w:rsidRDefault="00036C04" w:rsidP="009608F6">
            <w:r w:rsidRPr="005729B5"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036C04" w:rsidRPr="005729B5" w:rsidRDefault="00036C04" w:rsidP="009608F6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</w:tbl>
    <w:p w:rsidR="00036C04" w:rsidRPr="005729B5" w:rsidRDefault="00036C04" w:rsidP="00036C04">
      <w:pPr>
        <w:spacing w:before="120" w:after="120" w:line="312" w:lineRule="auto"/>
        <w:jc w:val="both"/>
        <w:rPr>
          <w:color w:val="000000" w:themeColor="text1"/>
        </w:rPr>
      </w:pPr>
    </w:p>
    <w:p w:rsidR="00036C04" w:rsidRPr="005729B5" w:rsidRDefault="00036C04" w:rsidP="00036C04">
      <w:pPr>
        <w:spacing w:before="120" w:after="120" w:line="312" w:lineRule="auto"/>
        <w:rPr>
          <w:i/>
          <w:iCs/>
          <w:color w:val="000000" w:themeColor="text1"/>
        </w:rPr>
      </w:pPr>
      <w:r w:rsidRPr="005729B5">
        <w:rPr>
          <w:i/>
          <w:iCs/>
          <w:color w:val="000000" w:themeColor="text1"/>
        </w:rPr>
        <w:t>7.3. Otvaranje  aplikacija i administrativna  provjera</w:t>
      </w:r>
    </w:p>
    <w:p w:rsidR="00036C04" w:rsidRPr="005729B5" w:rsidRDefault="00036C04" w:rsidP="00036C04">
      <w:pPr>
        <w:spacing w:before="120" w:after="120" w:line="312" w:lineRule="auto"/>
        <w:jc w:val="both"/>
        <w:rPr>
          <w:color w:val="000000" w:themeColor="text1"/>
        </w:rPr>
      </w:pPr>
      <w:r w:rsidRPr="005729B5">
        <w:rPr>
          <w:color w:val="000000" w:themeColor="text1"/>
        </w:rPr>
        <w:tab/>
        <w:t>Otvaranje  aplikacija i  administrativna  provjera  za prijedloge  projekata  se  provodi  najkasnije 30 dana od  dostavljanja zahtjeva.</w:t>
      </w:r>
    </w:p>
    <w:p w:rsidR="00036C04" w:rsidRPr="005729B5" w:rsidRDefault="00036C04" w:rsidP="00036C04">
      <w:pPr>
        <w:pStyle w:val="NoSpacing"/>
        <w:jc w:val="both"/>
      </w:pPr>
      <w:r w:rsidRPr="005729B5">
        <w:tab/>
        <w:t>Administrativna  provjera  se  provodi  u  cilju utvrđivanja  da li lice koje je dostavilo aplikaciju ispunjava uslove za dobijanje statusa aplikanta u skladu sa odredbama ovog programa. Administrativnu provjeru provodi komisija Ministarstva za privredu. Komisija provjerava da li je aplikacija zadovoljila  slijedeće  uslove:</w:t>
      </w:r>
    </w:p>
    <w:p w:rsidR="00036C04" w:rsidRPr="005729B5" w:rsidRDefault="00036C04" w:rsidP="00036C04">
      <w:pPr>
        <w:pStyle w:val="NoSpacing"/>
        <w:jc w:val="both"/>
      </w:pPr>
    </w:p>
    <w:p w:rsidR="00036C04" w:rsidRPr="005729B5" w:rsidRDefault="00036C04" w:rsidP="00036C04">
      <w:pPr>
        <w:pStyle w:val="ListParagraph"/>
        <w:numPr>
          <w:ilvl w:val="0"/>
          <w:numId w:val="2"/>
        </w:numPr>
        <w:jc w:val="both"/>
      </w:pPr>
      <w:r w:rsidRPr="005729B5">
        <w:t>da je aplikacija dostavljena u roku i na način predviđen programom,</w:t>
      </w:r>
    </w:p>
    <w:p w:rsidR="00036C04" w:rsidRPr="005729B5" w:rsidRDefault="00036C04" w:rsidP="00036C04">
      <w:pPr>
        <w:pStyle w:val="ListParagraph"/>
        <w:numPr>
          <w:ilvl w:val="0"/>
          <w:numId w:val="2"/>
        </w:numPr>
      </w:pPr>
      <w:r w:rsidRPr="005729B5">
        <w:t>da li  su dostavljeni svi prilozi na način predviđen programom,</w:t>
      </w:r>
    </w:p>
    <w:p w:rsidR="00036C04" w:rsidRPr="005729B5" w:rsidRDefault="00036C04" w:rsidP="00036C04">
      <w:pPr>
        <w:pStyle w:val="ListParagraph"/>
        <w:numPr>
          <w:ilvl w:val="0"/>
          <w:numId w:val="2"/>
        </w:numPr>
      </w:pPr>
      <w:r w:rsidRPr="005729B5">
        <w:t>da  li aplikant ispunjava opšte uslove za učestvovanje u programu,</w:t>
      </w:r>
    </w:p>
    <w:p w:rsidR="00036C04" w:rsidRPr="005729B5" w:rsidRDefault="00036C04" w:rsidP="00036C04">
      <w:pPr>
        <w:pStyle w:val="ListParagraph"/>
        <w:numPr>
          <w:ilvl w:val="0"/>
          <w:numId w:val="2"/>
        </w:numPr>
      </w:pPr>
      <w:r w:rsidRPr="005729B5">
        <w:t>da li  aplikant ispunjava posebne uslove za kandidovanje projekta za sredstvima,</w:t>
      </w:r>
    </w:p>
    <w:p w:rsidR="00036C04" w:rsidRPr="005729B5" w:rsidRDefault="00036C04" w:rsidP="00036C04">
      <w:pPr>
        <w:pStyle w:val="ListParagraph"/>
        <w:numPr>
          <w:ilvl w:val="0"/>
          <w:numId w:val="2"/>
        </w:numPr>
      </w:pPr>
      <w:r w:rsidRPr="005729B5">
        <w:t xml:space="preserve">da  je  aplikacija potpuna  i ispravno  popunjena u skladu sa propisanom formom, </w:t>
      </w:r>
    </w:p>
    <w:p w:rsidR="00036C04" w:rsidRPr="005729B5" w:rsidRDefault="00036C04" w:rsidP="00036C04">
      <w:pPr>
        <w:pStyle w:val="ListParagraph"/>
        <w:numPr>
          <w:ilvl w:val="0"/>
          <w:numId w:val="2"/>
        </w:numPr>
      </w:pPr>
      <w:r w:rsidRPr="005729B5">
        <w:t xml:space="preserve">da je aplikacija usklađena sa svrhom programa, opštim ciljem programa, da je zahtjevna podrška u skladu sa posebnim ciljevima programa, da je predloženo finansiranje u skladu sa odredbama o finansiranju, </w:t>
      </w:r>
    </w:p>
    <w:p w:rsidR="00036C04" w:rsidRPr="005729B5" w:rsidRDefault="00036C04" w:rsidP="00036C04">
      <w:pPr>
        <w:pStyle w:val="NoSpacing"/>
        <w:ind w:firstLine="360"/>
      </w:pPr>
    </w:p>
    <w:p w:rsidR="00036C04" w:rsidRPr="005729B5" w:rsidRDefault="00036C04" w:rsidP="00036C04">
      <w:pPr>
        <w:pStyle w:val="NoSpacing"/>
        <w:ind w:firstLine="360"/>
        <w:jc w:val="both"/>
      </w:pPr>
      <w:r w:rsidRPr="005729B5">
        <w:t>Ukoliko su ovi uslovi ispunjenji, komisija će aplikaciju evaluirati u skladu sa odredbama Programa. Komisija može zatražiti od aplikanta dostavljanje dodatne dokumentacije</w:t>
      </w:r>
      <w:r>
        <w:t>,</w:t>
      </w:r>
      <w:r w:rsidRPr="005729B5">
        <w:t xml:space="preserve"> ukoliko je očigledno da je dokument izostavljen zbog slučajne tehničke greške a što se može indirektno utvrditi na osnovu preostale dostavljene dokumentacije. Komisija može zatražiti </w:t>
      </w:r>
      <w:r w:rsidRPr="005729B5">
        <w:lastRenderedPageBreak/>
        <w:t xml:space="preserve">dopunu dokumentacije za maksimalno dva uslova za administrativnu provjeru. U suprotnom aplikacija će i bez evaluacije biti odbijena iz administrativnih razloga. </w:t>
      </w:r>
    </w:p>
    <w:p w:rsidR="00036C04" w:rsidRPr="005729B5" w:rsidRDefault="00036C04" w:rsidP="00036C04">
      <w:pPr>
        <w:pStyle w:val="NoSpacing"/>
        <w:rPr>
          <w:u w:val="single"/>
        </w:rPr>
      </w:pPr>
      <w:r w:rsidRPr="005729B5">
        <w:rPr>
          <w:u w:val="single"/>
        </w:rPr>
        <w:t>Aplikacije pisane rukom će biti automatski odbijene.</w:t>
      </w:r>
    </w:p>
    <w:p w:rsidR="00036C04" w:rsidRPr="005729B5" w:rsidRDefault="00036C04" w:rsidP="00036C04">
      <w:pPr>
        <w:jc w:val="both"/>
      </w:pPr>
    </w:p>
    <w:p w:rsidR="00036C04" w:rsidRPr="005729B5" w:rsidRDefault="00036C04" w:rsidP="00036C04">
      <w:pPr>
        <w:ind w:firstLine="708"/>
        <w:jc w:val="both"/>
      </w:pPr>
      <w:r w:rsidRPr="005729B5">
        <w:t xml:space="preserve">Prijave koje su dostavljene nakon što je Ministarstvo obavjestilo potencijalne aplikante o ispunjavanju podsticajnih kvota u administrativnoj provjeri će biti odbijene.  </w:t>
      </w:r>
    </w:p>
    <w:p w:rsidR="00036C04" w:rsidRPr="005729B5" w:rsidRDefault="00036C04" w:rsidP="00036C04">
      <w:pPr>
        <w:jc w:val="both"/>
      </w:pPr>
      <w:r w:rsidRPr="005729B5">
        <w:t>Nakon provedene administrativne procedure, Ministarstvo će obavjestiti sve aplikante o rezultatima administrativne provjere.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7.4. Evaluacija dostavljenih prijedloga projekata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Za provođenje procesa selekcije, evaluacije i ocjenjivanja projekata Ministarstvo formira komisiju.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Komisija sve dostavljene aplikacije razmatra i evaluira u periodu od maksimalno 30 dana od završetka administrativne provjere.</w:t>
      </w:r>
    </w:p>
    <w:p w:rsidR="00036C04" w:rsidRPr="005729B5" w:rsidRDefault="00036C04" w:rsidP="00036C04">
      <w:pPr>
        <w:pStyle w:val="ListParagraph"/>
      </w:pPr>
      <w:r w:rsidRPr="005729B5">
        <w:t>U evaluaciju projekata komisija primjenjuje pet grupa indikatora i to:</w:t>
      </w:r>
    </w:p>
    <w:p w:rsidR="00036C04" w:rsidRPr="005729B5" w:rsidRDefault="00036C04" w:rsidP="00036C04">
      <w:pPr>
        <w:pStyle w:val="ListParagraph"/>
        <w:numPr>
          <w:ilvl w:val="0"/>
          <w:numId w:val="3"/>
        </w:numPr>
      </w:pPr>
      <w:r w:rsidRPr="005729B5">
        <w:t>Finansijski i operativni kapaciteti aplikanta</w:t>
      </w:r>
    </w:p>
    <w:p w:rsidR="00036C04" w:rsidRPr="005729B5" w:rsidRDefault="00036C04" w:rsidP="00036C04">
      <w:pPr>
        <w:pStyle w:val="ListParagraph"/>
        <w:numPr>
          <w:ilvl w:val="0"/>
          <w:numId w:val="3"/>
        </w:numPr>
      </w:pPr>
      <w:r w:rsidRPr="005729B5">
        <w:t>Relevantnost</w:t>
      </w:r>
    </w:p>
    <w:p w:rsidR="00036C04" w:rsidRPr="005729B5" w:rsidRDefault="00036C04" w:rsidP="00036C04">
      <w:pPr>
        <w:pStyle w:val="ListParagraph"/>
        <w:numPr>
          <w:ilvl w:val="0"/>
          <w:numId w:val="3"/>
        </w:numPr>
      </w:pPr>
      <w:r w:rsidRPr="005729B5">
        <w:t>Metodologija</w:t>
      </w:r>
    </w:p>
    <w:p w:rsidR="00036C04" w:rsidRPr="005729B5" w:rsidRDefault="00036C04" w:rsidP="00036C04">
      <w:pPr>
        <w:pStyle w:val="ListParagraph"/>
        <w:numPr>
          <w:ilvl w:val="0"/>
          <w:numId w:val="3"/>
        </w:numPr>
      </w:pPr>
      <w:r w:rsidRPr="005729B5">
        <w:t>Održivost</w:t>
      </w:r>
    </w:p>
    <w:p w:rsidR="00036C04" w:rsidRPr="005729B5" w:rsidRDefault="00036C04" w:rsidP="00036C04">
      <w:pPr>
        <w:pStyle w:val="ListParagraph"/>
        <w:numPr>
          <w:ilvl w:val="0"/>
          <w:numId w:val="3"/>
        </w:numPr>
      </w:pPr>
      <w:r w:rsidRPr="005729B5">
        <w:t>Budžet  i troškovna efikasnost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7.5. Ocjenjivanje aplikacija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036C04" w:rsidRPr="005729B5" w:rsidRDefault="00036C04" w:rsidP="00036C04">
      <w:pPr>
        <w:pStyle w:val="NoSpacing"/>
      </w:pPr>
      <w:r w:rsidRPr="005729B5">
        <w:t xml:space="preserve">1 - veoma slabo; </w:t>
      </w:r>
    </w:p>
    <w:p w:rsidR="00036C04" w:rsidRPr="005729B5" w:rsidRDefault="00036C04" w:rsidP="00036C04">
      <w:pPr>
        <w:pStyle w:val="NoSpacing"/>
      </w:pPr>
      <w:r w:rsidRPr="005729B5">
        <w:t xml:space="preserve">2 - slabo; </w:t>
      </w:r>
    </w:p>
    <w:p w:rsidR="00036C04" w:rsidRPr="005729B5" w:rsidRDefault="00036C04" w:rsidP="00036C04">
      <w:pPr>
        <w:pStyle w:val="NoSpacing"/>
      </w:pPr>
      <w:r w:rsidRPr="005729B5">
        <w:t xml:space="preserve">3 - adekvatno; </w:t>
      </w:r>
    </w:p>
    <w:p w:rsidR="00036C04" w:rsidRPr="005729B5" w:rsidRDefault="00036C04" w:rsidP="00036C04">
      <w:pPr>
        <w:pStyle w:val="NoSpacing"/>
      </w:pPr>
      <w:r w:rsidRPr="005729B5">
        <w:t xml:space="preserve">4 - dobro; </w:t>
      </w:r>
    </w:p>
    <w:p w:rsidR="00036C04" w:rsidRPr="005729B5" w:rsidRDefault="00036C04" w:rsidP="00036C04">
      <w:pPr>
        <w:pStyle w:val="NoSpacing"/>
      </w:pPr>
      <w:r w:rsidRPr="005729B5">
        <w:t>5 - veoma dobro.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Svaka ocjena se množi sa koeficijentom koji je za svaki indikator predviđen u evaluacijskoj skali. Maksimalan broj bodova za projekat iznosi 100.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 xml:space="preserve">Projekti koji imaju manje od 70 bodova se odbacuju u prvom krugu selekcije. Ukoliko je ukupan rezultat u poglavlju </w:t>
      </w:r>
      <w:r w:rsidRPr="005729B5">
        <w:rPr>
          <w:b/>
          <w:bCs/>
        </w:rPr>
        <w:t>relevantnost</w:t>
      </w:r>
      <w:r w:rsidRPr="005729B5">
        <w:t xml:space="preserve"> manji od 15 aplikacija se odbija, bez obzira na dobiven ukupan maksimalan broj bodova. Ukoliko je ukupan rezultat u poglavlju </w:t>
      </w:r>
      <w:r w:rsidRPr="005729B5">
        <w:rPr>
          <w:b/>
          <w:bCs/>
        </w:rPr>
        <w:t>budžet i troškovna efikasnost</w:t>
      </w:r>
      <w:r w:rsidRPr="005729B5">
        <w:t xml:space="preserve">  manji od 15</w:t>
      </w:r>
      <w:r>
        <w:t>,</w:t>
      </w:r>
      <w:r w:rsidRPr="005729B5">
        <w:t xml:space="preserve"> aplikacija se odbija, bez obzira na dobiven ukupan maksimalan broj bodova.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Komisija će procjenjivati vrijednost indikatora. Prilikom određivanja vrijednosti indikatora komisija će se pridržavati prioriteta, posebnih uslova, finansijskih kriterija i načina rangiranja koji su propisani programom. Svi članovi komisije dodjeluju ocjene, a ukupan broj bodova se dobija kada se ocjene dobivene od svih članova komisije podjeli sa brojem članova komisije.</w:t>
      </w:r>
    </w:p>
    <w:p w:rsidR="00036C04" w:rsidRPr="00EF5B74" w:rsidRDefault="00036C04" w:rsidP="00036C04">
      <w:pPr>
        <w:spacing w:before="120" w:after="120" w:line="312" w:lineRule="auto"/>
        <w:jc w:val="center"/>
        <w:rPr>
          <w:i/>
          <w:iCs/>
          <w:sz w:val="22"/>
          <w:szCs w:val="22"/>
        </w:rPr>
      </w:pPr>
      <w:r w:rsidRPr="00EF5B74">
        <w:rPr>
          <w:i/>
          <w:iCs/>
          <w:sz w:val="22"/>
          <w:szCs w:val="22"/>
        </w:rPr>
        <w:lastRenderedPageBreak/>
        <w:t>7.6.Skala za evaluaciju</w:t>
      </w:r>
    </w:p>
    <w:tbl>
      <w:tblPr>
        <w:tblW w:w="9108" w:type="dxa"/>
        <w:jc w:val="center"/>
        <w:tblLook w:val="01E0"/>
      </w:tblPr>
      <w:tblGrid>
        <w:gridCol w:w="6480"/>
        <w:gridCol w:w="1314"/>
        <w:gridCol w:w="1314"/>
      </w:tblGrid>
      <w:tr w:rsidR="00036C04" w:rsidRPr="00EF5B74" w:rsidTr="009608F6">
        <w:trPr>
          <w:trHeight w:val="255"/>
          <w:jc w:val="center"/>
        </w:trPr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</w:pPr>
            <w:r w:rsidRPr="00EF5B74">
              <w:rPr>
                <w:sz w:val="22"/>
                <w:szCs w:val="22"/>
              </w:rPr>
              <w:t>INDIKATOR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E5DFEC"/>
              <w:right w:val="nil"/>
            </w:tcBorders>
            <w:shd w:val="clear" w:color="auto" w:fill="E1EBE8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</w:pPr>
            <w:r w:rsidRPr="00EF5B74">
              <w:rPr>
                <w:sz w:val="22"/>
                <w:szCs w:val="22"/>
              </w:rPr>
              <w:t xml:space="preserve">            SKALA</w:t>
            </w:r>
          </w:p>
        </w:tc>
      </w:tr>
      <w:tr w:rsidR="00036C04" w:rsidRPr="00EF5B74" w:rsidTr="009608F6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/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center"/>
            </w:pPr>
            <w:r w:rsidRPr="00EF5B74">
              <w:rPr>
                <w:sz w:val="22"/>
                <w:szCs w:val="22"/>
              </w:rPr>
              <w:t xml:space="preserve">       Projekti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center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vAlign w:val="center"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1.  Finansijski i operativni kapaciteti aplikanta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</w:pPr>
            <w:r w:rsidRPr="00EF5B74">
              <w:rPr>
                <w:sz w:val="22"/>
                <w:szCs w:val="22"/>
              </w:rPr>
              <w:t>1.1. Procjenjeni nivo iskustva aplikanta u upravljanju projektom?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 w:rsidRPr="00EF5B74">
              <w:rPr>
                <w:sz w:val="22"/>
                <w:szCs w:val="22"/>
              </w:rPr>
              <w:t xml:space="preserve"> Procjenjeni nivo tehničkog  i stručnog znanje i iskustva neophodnog za implementaciju projekata?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2. Relevantnost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</w:pPr>
            <w:r w:rsidRPr="00EF5B74">
              <w:rPr>
                <w:sz w:val="22"/>
                <w:szCs w:val="22"/>
              </w:rPr>
              <w:t>Koliko je aplikacija relevantna za svrhu, opšti i posebne ciljeve Programa?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</w:pPr>
            <w:r w:rsidRPr="00EF5B74">
              <w:rPr>
                <w:sz w:val="22"/>
                <w:szCs w:val="22"/>
              </w:rPr>
              <w:t>Koliko je aplikacija relevantna za prioritetne mjere podrške u okviru programa?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</w:pPr>
            <w:r w:rsidRPr="00EF5B74">
              <w:rPr>
                <w:sz w:val="22"/>
                <w:szCs w:val="22"/>
              </w:rPr>
              <w:t>2.3. Koliko je aplikacija relevantna za očekivane rezulate programa?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3. Metodologija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478"/>
              <w:jc w:val="both"/>
            </w:pPr>
            <w:r w:rsidRPr="00EF5B74">
              <w:rPr>
                <w:sz w:val="22"/>
                <w:szCs w:val="22"/>
              </w:rPr>
              <w:t>Da li aktivnosti u prijedlogu projekta odgovarajuće i konzistentne sa ciljevima i očekivanim rezultatima projekta?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107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6"/>
              </w:numPr>
              <w:tabs>
                <w:tab w:val="num" w:pos="337"/>
              </w:tabs>
              <w:spacing w:line="276" w:lineRule="auto"/>
              <w:ind w:left="337" w:hanging="337"/>
              <w:jc w:val="both"/>
            </w:pPr>
            <w:r w:rsidRPr="00EF5B74">
              <w:rPr>
                <w:sz w:val="22"/>
                <w:szCs w:val="22"/>
              </w:rPr>
              <w:t>Koliko je koherentan dizajn projekta, konkretna analiza problema, da li su predložene aktivnosti odgovarajuće za rješavanje prezentiranog problema, te da li su na zadovoljavajući način planirani raspoloživi resursi aplikanta a koji mogu doprinijeti rješavanju problema?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4. Održivost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624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>Da li će mjere podrške programa značajnije doprinijeti rješavanju problema koji je naveden u prijedlogu projekta ili zahtjevu?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624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>Da li predložene aktivnosti mogu imati pozitivne multiplikativne efekte na sektor u kojem aplikant posluje, odnosno na prerađivački sektor Bosansko-podrinjskog kantona Goražde?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90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>Da li su očekivani rezultati aktivnosti za koje se traži finansiranje održivi u finansijskom smislu i da li će se ostvarivati i nakon prestanka finansiranja iz programa, u periodu od minimalno tri godine?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both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5.  Budžet  i troškovna efikasnost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>Da li je odnos između planiranih troškova i očekivanih rezultata zadovoljavajući?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>Da li je visina predloženih troškova adekvatna za implementaciju planiranih aktivnosti?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982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37"/>
              <w:jc w:val="both"/>
            </w:pPr>
            <w:r w:rsidRPr="00EF5B74">
              <w:rPr>
                <w:sz w:val="22"/>
                <w:szCs w:val="22"/>
              </w:rPr>
              <w:t xml:space="preserve"> Da li su predloženi troškovi aktivnosti obrazloženi na način da dokazuju da će sredstva programa biti iskorištena na efikasan i ekonomičan način?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  <w:r w:rsidRPr="00EF5B74">
              <w:rPr>
                <w:sz w:val="22"/>
                <w:szCs w:val="22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</w:pPr>
          </w:p>
        </w:tc>
      </w:tr>
      <w:tr w:rsidR="00036C04" w:rsidRPr="00EF5B74" w:rsidTr="009608F6">
        <w:trPr>
          <w:trHeight w:val="34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MAKSIMALNI BROJ BODOVA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  <w:r w:rsidRPr="00EF5B7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036C04" w:rsidRPr="00EF5B74" w:rsidRDefault="00036C04" w:rsidP="009608F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036C04" w:rsidRPr="005729B5" w:rsidRDefault="00036C04" w:rsidP="00036C04">
      <w:pPr>
        <w:jc w:val="center"/>
        <w:rPr>
          <w:i/>
          <w:iCs/>
        </w:rPr>
      </w:pPr>
      <w:r w:rsidRPr="005729B5">
        <w:rPr>
          <w:i/>
          <w:iCs/>
        </w:rPr>
        <w:lastRenderedPageBreak/>
        <w:t>7.7.  Procedure odobravanja prijedloga projekata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Za projekte koji su u procesu evaluacije dobili više od 70 bodova, komisija rangira po broju osvojenih bodova.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U procesu odobravanja, Komisija može uvidom na terenu provjeriti stanje u pogledu uklađenosti stvarnog stanja sa stanjem navedenim u prijedlogu projekta.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>Sve odobrene projekte Ministarstvo za privredu predlaže Vladi Bosansko-podrinjskog kantona Goražde da donese Odluku o odobravanju prijedloga projekta koji će se sufinansirati iz sredstava budžeta Bosansko-podrinjskog kantona–ekonomski kod 614400–HAP001-Subvencije javnim preduzećima.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>Istovremenom sa prijedlogom Odluke o odobravanju prijedloga projekta, Vladi Bosansko-podrinjskog kantona Goražde dostavlja se odobreni prijedlog projekta i prednacrt ugovora o sufinansiranju odobrenog projekta.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  <w:rPr>
          <w:color w:val="000000" w:themeColor="text1"/>
        </w:rPr>
      </w:pPr>
      <w:r w:rsidRPr="005729B5">
        <w:t xml:space="preserve">Ukoliko se Odlukom Vlade Bosansko-podrinjskog kantona Goražde odobrava iznos granta veći od 10.000 KM, prije potpisivanja Ugovora, nacrt Ugovora dostavlja se Kantonalnom </w:t>
      </w:r>
      <w:r w:rsidRPr="005729B5">
        <w:rPr>
          <w:color w:val="000000" w:themeColor="text1"/>
        </w:rPr>
        <w:t>pravobraniocu na Mišljenje.</w:t>
      </w:r>
    </w:p>
    <w:p w:rsidR="00036C04" w:rsidRPr="005729B5" w:rsidRDefault="00036C04" w:rsidP="00036C04">
      <w:pPr>
        <w:jc w:val="both"/>
      </w:pPr>
      <w:r w:rsidRPr="005729B5">
        <w:t xml:space="preserve">             U slučaju da je planirano sufinansiranje projekta iz programa veće od 6.000 KM i manje od 50.000 KM, uz prednacrt ugovora podnosi se i Prijedlog Zaključka Vlade o davanju saglasnosti Ministru privrede za potpisivanje Ugovora. 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 xml:space="preserve">Nakon privatanja prijedloga Odluke od strane Vlade Bosansko-podrinjskog kantona Goražde, i pribavljenog Mišljenja Kantonalnog pravobranilaštva na Nacrt Ugovora, pristupa se potpisivanju ugovora za sufinansiranje projekta o čemu se aplikant pismeno obavještava. Ugovorom se definiše način implementacije projekta, vrijeme implementacije, obaveze korisnika sredstava i Ministarstva za privredu i način obezbjeđenja instrumenata za namjenski utrošak sredstava.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Nakon potpisivanja Ugovora, Ministarstvo za privredu predlaže Vladi Bosansko-podrinjskog kantona Goražde da u skladu sa Zakonom o izvršenju Budžeta, donese Odluku o odobravanju sredstava iz budžeta Bosansko-podrinjskog kantona, ekonomski kod 614 400–HAP 001-Subvencije javnim preduzećima u skladu sa potpisanim ugovorom.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>Nakon privatanja prijedloga Odluke o odobravanju zahtjeva za isplatom sredstava od strane Vlade Bosansko-podrinjskog kantona Goražde, zahtjev za plaćanje se dostavlja Ministarstvu finansija.</w:t>
      </w:r>
    </w:p>
    <w:p w:rsidR="00036C04" w:rsidRPr="005729B5" w:rsidRDefault="00036C04" w:rsidP="00036C04">
      <w:pPr>
        <w:rPr>
          <w:b/>
          <w:i/>
          <w:iCs/>
        </w:rPr>
      </w:pPr>
      <w:r w:rsidRPr="005729B5">
        <w:rPr>
          <w:b/>
        </w:rPr>
        <w:t xml:space="preserve">8. PRIORITETI I I NAČIN RANGIRANJA 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8.1. Prioritetne aktivnosti</w:t>
      </w:r>
    </w:p>
    <w:p w:rsidR="00036C04" w:rsidRPr="005729B5" w:rsidRDefault="00036C04" w:rsidP="00036C04">
      <w:pPr>
        <w:spacing w:before="120" w:after="120" w:line="312" w:lineRule="auto"/>
        <w:ind w:firstLine="705"/>
      </w:pPr>
      <w:r w:rsidRPr="005729B5">
        <w:t>Prioritetne aktivnosti i mjere koje imaju prednost za učestvovanje u programu u okviru 1 i 2.cilja su:</w:t>
      </w:r>
    </w:p>
    <w:p w:rsidR="00036C04" w:rsidRPr="005729B5" w:rsidRDefault="00036C04" w:rsidP="00036C04">
      <w:pPr>
        <w:numPr>
          <w:ilvl w:val="0"/>
          <w:numId w:val="9"/>
        </w:numPr>
        <w:spacing w:before="120" w:after="120" w:line="312" w:lineRule="auto"/>
        <w:ind w:left="1134"/>
      </w:pPr>
      <w:r w:rsidRPr="005729B5">
        <w:lastRenderedPageBreak/>
        <w:t xml:space="preserve">Aktivnosti koji omogućavaju uvođenje novih usluga Javnih preduzeća od značaja za građane i privatni sektor </w:t>
      </w:r>
    </w:p>
    <w:p w:rsidR="00036C04" w:rsidRPr="005729B5" w:rsidRDefault="00036C04" w:rsidP="00036C04">
      <w:pPr>
        <w:numPr>
          <w:ilvl w:val="0"/>
          <w:numId w:val="9"/>
        </w:numPr>
        <w:spacing w:before="120" w:after="120" w:line="312" w:lineRule="auto"/>
        <w:ind w:left="1134"/>
      </w:pPr>
      <w:r w:rsidRPr="005729B5">
        <w:t>Aktivnosti koji omogućavaju veću interakciju Javnih preduzeća i građana;</w:t>
      </w:r>
    </w:p>
    <w:p w:rsidR="00036C04" w:rsidRPr="005729B5" w:rsidRDefault="00036C04" w:rsidP="00036C04">
      <w:pPr>
        <w:numPr>
          <w:ilvl w:val="0"/>
          <w:numId w:val="9"/>
        </w:numPr>
        <w:spacing w:before="120" w:after="120" w:line="312" w:lineRule="auto"/>
        <w:ind w:left="1134"/>
      </w:pPr>
      <w:r w:rsidRPr="005729B5">
        <w:t>Aktivnosti koje građanima olakšavaju pristup uslugama Javnih preduzeća:</w:t>
      </w:r>
    </w:p>
    <w:p w:rsidR="00036C04" w:rsidRPr="005729B5" w:rsidRDefault="00036C04" w:rsidP="00036C04">
      <w:pPr>
        <w:spacing w:before="120" w:after="120" w:line="312" w:lineRule="auto"/>
        <w:ind w:firstLine="705"/>
      </w:pPr>
      <w:r w:rsidRPr="005729B5">
        <w:t>Aplikanti mogu predvidjeti i implementaciju ostalih aktivnosti i mjera.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8.2. Način rangiranja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Prilikom ocjenjivanja finansijskih i operativnih kapaciteta prednost će se dati aplikantima koji redovno izmiruju obaveze prema porezima i doprinosima u odnosu na aplikante koji imaju reprogram duga, koji su duži vremenski period aktivni na području kantona, koji su veći broj godina poslovali sa dobitkom.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Prilikom ocjenjivanja relevantnosti projekta, prednost će se davati projektima koji su predviđeni programom, a komisija će voditi računa o raznolikosti i zastupljenosti usluga na području kantona koje su predmet apliciranih projekata.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Prednost će se dati projektima koji imaju vlastito učešće u programu i koji omogućavaju ostvarivanje većih rezultata koji su predviđeni ovim programom. 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Prednost će se dati aplikantima koji imaju za cilj realizaciju prioritetnih aktivnosti i mjera predviđenim ovim programom. Posebna pažnja će biti data aplikacijama koje doprinose ostvarivanju više priorietetnih aktivnosti i mjera predviđenih programom.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Prilikom ocjenjivanja metodologije ocjenjivat će se metode i predloženi način realizacije aktivnosti. Aplikacije koje imaju bolje razrađenu metodologiju i koherentniji plan implementacije projekta će imati prednost pri rangiranju.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Prilikom ocjenjivanja održivosti projekta, prednost imaju aplikacije koje na sveobuhvatniji naćin riješavaju problem i omogućavaju ostvarivanje rezultata, koje provode aktivnosti, koje su bolje povezane sa potrebama građana  i koje mogu dugoročno osigurati nastavak aktivnosti i nakon završetka projekta.</w:t>
      </w:r>
    </w:p>
    <w:p w:rsidR="00036C04" w:rsidRPr="005729B5" w:rsidRDefault="00AD1830" w:rsidP="00036C04">
      <w:pPr>
        <w:spacing w:before="120" w:after="120" w:line="312" w:lineRule="auto"/>
        <w:jc w:val="both"/>
        <w:rPr>
          <w:b/>
        </w:rPr>
      </w:pPr>
      <w:r>
        <w:rPr>
          <w:b/>
        </w:rPr>
        <w:t xml:space="preserve"> </w:t>
      </w:r>
      <w:r w:rsidR="00036C04" w:rsidRPr="005729B5">
        <w:rPr>
          <w:b/>
        </w:rPr>
        <w:t>9. NAZIV KORISNIKA SREDSTAVA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9.1. Korisnici  sredstava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Korisnici  sredstava  su  lica koja ispunjavaju opšte i posebne uslove programa i koji  su  uspješno  završili  proces  apliciranja, selekcije i  evaluacije i koji su uspješno rangirani za  korištenje  sredstava  iz  ovog  programa.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9.2. Registar korisnika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 xml:space="preserve">Ministarstvo za  privredu  vodi registar korisnika u kojem se nalaze svi relevantni podaci o datoj državnoj pomoći u okviru ovog programa za period od pet godine od godine dobijanja državne pomoći. </w:t>
      </w: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lastRenderedPageBreak/>
        <w:t>10.POTREBAN BROJ RADNIKA ZA PROVOĐENJE PROGRAMA I MONITORING</w:t>
      </w:r>
    </w:p>
    <w:p w:rsidR="00036C04" w:rsidRPr="005729B5" w:rsidRDefault="00036C04" w:rsidP="00036C04">
      <w:pPr>
        <w:spacing w:before="120" w:after="120" w:line="312" w:lineRule="auto"/>
        <w:ind w:firstLine="709"/>
        <w:jc w:val="both"/>
      </w:pPr>
      <w:r w:rsidRPr="005729B5">
        <w:t>Za provođenje Programa nadležni su zaposleni u Ministarstvu za privredu Bosansko-podrinjskog - kantona Goražde i Program ne zahtjeva angažovanje dodatnih radnika na provođenju Programa, izuzev za korištenje vanjskih usluga za potrebe izrade baze podataka registra korisnika.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</w:rPr>
      </w:pPr>
      <w:r w:rsidRPr="005729B5">
        <w:rPr>
          <w:i/>
        </w:rPr>
        <w:t>10.1. Monitoring implementacije programa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>Monitoring se provodi sa ciljem utvrđivanja da li se implementacija podržanih aktivnosti provodi u skladu sa Odlukom o dodjeli sredstava  i u skladu sa odredbama ovog Programa. U  cilju  osiguranja  procjene  rezultata, odabrani korisnici su dužni nakon utroška odobrenih sredstava dostaviti  Ministarstvu  za  privredu Bosansko-podrinjskog kantona Goražde Izvještaj o utrošku sredstava i provedenim  aktivnostima a koja su odobrena za finansiranje iz Programa. Forma  i  sadržaj  Izvještaja  o  utrošku  sredstava  će  biti  dostavljena  korisniku   sredstava koji će uz priloge u vidu (računa, uplatnica,izvoda iz banaka, ugovora) biti dostavljeni Ministarstvu za privredu Bosansko-podrinjskog kantona Goražde.</w:t>
      </w:r>
    </w:p>
    <w:p w:rsidR="00036C04" w:rsidRPr="005729B5" w:rsidRDefault="00036C04" w:rsidP="00036C04">
      <w:pPr>
        <w:spacing w:before="120" w:after="120" w:line="312" w:lineRule="auto"/>
      </w:pPr>
      <w:r w:rsidRPr="005729B5">
        <w:t>Nadzor realizacije Programa vrši Ministarstvo za privredu Bosansko-podrinjskog kantona Goražde.</w:t>
      </w:r>
    </w:p>
    <w:p w:rsidR="00036C04" w:rsidRPr="005729B5" w:rsidRDefault="00036C04" w:rsidP="00036C04">
      <w:pPr>
        <w:spacing w:before="120" w:after="120" w:line="312" w:lineRule="auto"/>
        <w:ind w:firstLine="708"/>
        <w:jc w:val="both"/>
      </w:pPr>
      <w:r w:rsidRPr="005729B5">
        <w:t xml:space="preserve">U slučaju da rezultati monitoringa ukažu na značajan zaostatak u ispunjavanju ugovorenih obaveza, Ministarstvo za privredu Bosansko-podrinjskog kantona Goražde predlaže Vladi Bosansko-podrinjskog kantona Goražde donošenje Odluke o povratu dodjeljene državne pomoći ili preusmjeravanje u skladu sa odredbama programa.  </w:t>
      </w:r>
    </w:p>
    <w:p w:rsidR="00036C04" w:rsidRPr="005729B5" w:rsidRDefault="00036C04" w:rsidP="00036C04">
      <w:pPr>
        <w:spacing w:before="120" w:after="120" w:line="312" w:lineRule="auto"/>
        <w:jc w:val="both"/>
        <w:rPr>
          <w:i/>
          <w:iCs/>
        </w:rPr>
      </w:pPr>
      <w:r w:rsidRPr="005729B5">
        <w:rPr>
          <w:b/>
        </w:rPr>
        <w:t>11. PROCJENA REZULTATA</w:t>
      </w:r>
    </w:p>
    <w:p w:rsidR="00036C04" w:rsidRPr="005729B5" w:rsidRDefault="00036C04" w:rsidP="00036C04">
      <w:pPr>
        <w:spacing w:before="120" w:after="120" w:line="312" w:lineRule="auto"/>
        <w:rPr>
          <w:i/>
          <w:iCs/>
        </w:rPr>
      </w:pPr>
      <w:r w:rsidRPr="005729B5">
        <w:rPr>
          <w:i/>
          <w:iCs/>
        </w:rPr>
        <w:t>11.1.Pregled očekivanih rezultata podrške</w:t>
      </w:r>
    </w:p>
    <w:p w:rsidR="00036C04" w:rsidRPr="005729B5" w:rsidRDefault="00036C04" w:rsidP="00036C04">
      <w:pPr>
        <w:spacing w:before="120" w:after="120" w:line="312" w:lineRule="auto"/>
        <w:ind w:left="11" w:firstLine="709"/>
        <w:jc w:val="both"/>
      </w:pPr>
      <w:r w:rsidRPr="005729B5">
        <w:t>Očekivani rezultati programa podrške unaprijeđenja usluga Javnih preduzeća su:</w:t>
      </w:r>
    </w:p>
    <w:p w:rsidR="00036C04" w:rsidRPr="005729B5" w:rsidRDefault="00036C04" w:rsidP="00036C04">
      <w:pPr>
        <w:numPr>
          <w:ilvl w:val="0"/>
          <w:numId w:val="10"/>
        </w:numPr>
        <w:spacing w:before="120" w:after="120" w:line="312" w:lineRule="auto"/>
        <w:ind w:right="177"/>
        <w:jc w:val="both"/>
      </w:pPr>
      <w:r w:rsidRPr="005729B5">
        <w:t>Unaprijeđenje sistema pružanja usluga koje obezbjeđuju veći stepen zadovoljstva korisnika usluga javnih preduzeća;</w:t>
      </w:r>
    </w:p>
    <w:p w:rsidR="00036C04" w:rsidRPr="005729B5" w:rsidRDefault="00036C04" w:rsidP="00036C04">
      <w:pPr>
        <w:numPr>
          <w:ilvl w:val="0"/>
          <w:numId w:val="10"/>
        </w:numPr>
        <w:spacing w:before="120" w:after="120" w:line="312" w:lineRule="auto"/>
        <w:ind w:right="177"/>
        <w:jc w:val="both"/>
      </w:pPr>
      <w:r w:rsidRPr="005729B5">
        <w:t>Uvođenje novih vrsta usluga Javnih preduzeća;</w:t>
      </w:r>
    </w:p>
    <w:p w:rsidR="00036C04" w:rsidRPr="005729B5" w:rsidRDefault="00036C04" w:rsidP="00036C04">
      <w:pPr>
        <w:numPr>
          <w:ilvl w:val="0"/>
          <w:numId w:val="10"/>
        </w:numPr>
        <w:spacing w:before="120" w:after="120" w:line="312" w:lineRule="auto"/>
        <w:ind w:right="177"/>
        <w:jc w:val="both"/>
      </w:pPr>
      <w:r w:rsidRPr="005729B5">
        <w:t>Proširenje obima pružanja usluga korisnicima;</w:t>
      </w:r>
    </w:p>
    <w:p w:rsidR="00036C04" w:rsidRPr="005729B5" w:rsidRDefault="00036C04" w:rsidP="00036C04">
      <w:pPr>
        <w:numPr>
          <w:ilvl w:val="0"/>
          <w:numId w:val="10"/>
        </w:numPr>
        <w:spacing w:before="120" w:after="120" w:line="312" w:lineRule="auto"/>
        <w:ind w:right="177"/>
        <w:jc w:val="both"/>
      </w:pPr>
      <w:r w:rsidRPr="005729B5">
        <w:t>Povećanje dostupnosti usluga koje se pružaju korisnicima;</w:t>
      </w:r>
    </w:p>
    <w:p w:rsidR="00036C04" w:rsidRPr="005729B5" w:rsidRDefault="00036C04" w:rsidP="00036C04">
      <w:pPr>
        <w:spacing w:before="120" w:after="120" w:line="312" w:lineRule="auto"/>
        <w:ind w:left="11" w:firstLine="709"/>
        <w:jc w:val="both"/>
      </w:pPr>
      <w:r w:rsidRPr="005729B5">
        <w:t>Aplikanti su duzni u prijedlogu projekta navesti specifične rezultate koji su direktno povezani sa djelatnošću  Javnih preduzeća   i  moraju  biti  mjerljivi  i  jasno  vremenski  određeni.</w:t>
      </w:r>
    </w:p>
    <w:p w:rsidR="00036C04" w:rsidRPr="005729B5" w:rsidRDefault="00036C04" w:rsidP="00036C04">
      <w:pPr>
        <w:spacing w:before="120" w:after="120" w:line="312" w:lineRule="auto"/>
        <w:ind w:left="11" w:firstLine="709"/>
        <w:jc w:val="both"/>
        <w:rPr>
          <w:i/>
          <w:iCs/>
        </w:rPr>
      </w:pPr>
      <w:r w:rsidRPr="005729B5">
        <w:t>Sve aplikacije koje se podnose za finansiranje iz sredstava programa će biti procjenjivani u odnosu na njihove očekivane rezultate. Očekivani rezultati prijedloga projekata se procjenjuju u odnosu na očekivane rezultate programa.</w:t>
      </w:r>
    </w:p>
    <w:p w:rsidR="00036C04" w:rsidRPr="005729B5" w:rsidRDefault="00036C04" w:rsidP="00036C04">
      <w:pPr>
        <w:spacing w:before="120" w:after="120" w:line="312" w:lineRule="auto"/>
        <w:jc w:val="both"/>
        <w:rPr>
          <w:b/>
        </w:rPr>
      </w:pPr>
      <w:r w:rsidRPr="005729B5">
        <w:rPr>
          <w:b/>
        </w:rPr>
        <w:lastRenderedPageBreak/>
        <w:t xml:space="preserve">12. PROCJENA NEPREDVIĐENIH RASHODA I RIZIKA  </w:t>
      </w: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08"/>
        <w:jc w:val="both"/>
      </w:pPr>
      <w:r w:rsidRPr="005729B5">
        <w:t>Nepredviđeni rashodi samim Programom mogu se pojaviti samo kao rezultat promjena unutar interne strukture samog Programa, ali ne i do povećanja ukupnih nepredviđenih rashoda Programa. Kako bi se smanjili rizici u procesu implementacije Programa uvedene su novine i u procesu selekcije i monitorigu aktivnosti koje su podržane u okviru ovog Programa. Novine se odnose u omogućavanju službenicima terenske posjete i prikupljanje dodatnih informacija neophodnih za proces selekcije, te monitoring u toku same implementacije aktivnosti i mjera koje su podržane ovim Programom.</w:t>
      </w:r>
    </w:p>
    <w:p w:rsidR="00036C04" w:rsidRDefault="00036C04" w:rsidP="00036C04">
      <w:pPr>
        <w:pStyle w:val="ListParagraph"/>
        <w:spacing w:before="120" w:after="120" w:line="312" w:lineRule="auto"/>
        <w:ind w:left="0" w:firstLine="708"/>
        <w:jc w:val="both"/>
      </w:pPr>
      <w:r w:rsidRPr="005729B5">
        <w:t xml:space="preserve">Aplikanti su dužni planirati odgovarajuće mjere koje će poduzeti u slučaju ostvarivanja rizika koji mogu uticati na ostvarivanje ciljeva i rezultata koji su predviđeni u aktivnostima i mjerama za koje su dobili podršku iz ovog Programa. </w:t>
      </w:r>
      <w:r w:rsidRPr="005729B5">
        <w:tab/>
      </w:r>
    </w:p>
    <w:p w:rsidR="00036C04" w:rsidRDefault="00036C04" w:rsidP="00036C04">
      <w:pPr>
        <w:pStyle w:val="ListParagraph"/>
        <w:spacing w:before="120" w:after="120" w:line="312" w:lineRule="auto"/>
        <w:ind w:left="0" w:firstLine="708"/>
        <w:jc w:val="both"/>
      </w:pPr>
    </w:p>
    <w:p w:rsidR="00036C04" w:rsidRDefault="00036C04" w:rsidP="00036C04">
      <w:pPr>
        <w:pStyle w:val="ListParagraph"/>
        <w:spacing w:before="120" w:after="120" w:line="312" w:lineRule="auto"/>
        <w:ind w:left="0" w:firstLine="708"/>
        <w:jc w:val="both"/>
      </w:pPr>
    </w:p>
    <w:p w:rsidR="00036C04" w:rsidRDefault="00036C04" w:rsidP="00036C04">
      <w:pPr>
        <w:pStyle w:val="ListParagraph"/>
        <w:spacing w:before="120" w:after="120" w:line="312" w:lineRule="auto"/>
        <w:ind w:left="0" w:firstLine="708"/>
        <w:jc w:val="both"/>
      </w:pPr>
    </w:p>
    <w:p w:rsidR="00036C04" w:rsidRDefault="00036C04" w:rsidP="00036C04">
      <w:pPr>
        <w:pStyle w:val="ListParagraph"/>
        <w:spacing w:before="120" w:after="120" w:line="312" w:lineRule="auto"/>
        <w:ind w:left="0" w:firstLine="708"/>
        <w:jc w:val="both"/>
      </w:pPr>
    </w:p>
    <w:p w:rsidR="00036C04" w:rsidRPr="005729B5" w:rsidRDefault="00036C04" w:rsidP="00036C04">
      <w:pPr>
        <w:pStyle w:val="ListParagraph"/>
        <w:spacing w:before="120" w:after="120" w:line="312" w:lineRule="auto"/>
        <w:ind w:left="0" w:firstLine="708"/>
        <w:jc w:val="both"/>
      </w:pPr>
    </w:p>
    <w:p w:rsidR="00036C04" w:rsidRPr="005729B5" w:rsidRDefault="00036C04" w:rsidP="00036C04">
      <w:pPr>
        <w:tabs>
          <w:tab w:val="left" w:pos="5909"/>
        </w:tabs>
        <w:spacing w:before="120" w:after="120" w:line="312" w:lineRule="auto"/>
        <w:ind w:firstLine="708"/>
        <w:jc w:val="both"/>
        <w:rPr>
          <w:b/>
        </w:rPr>
      </w:pPr>
      <w:r w:rsidRPr="005729B5">
        <w:tab/>
        <w:t xml:space="preserve">             </w:t>
      </w:r>
      <w:r w:rsidRPr="005729B5">
        <w:rPr>
          <w:b/>
        </w:rPr>
        <w:t xml:space="preserve"> M I N I S T A R </w:t>
      </w:r>
    </w:p>
    <w:p w:rsidR="00036C04" w:rsidRPr="005729B5" w:rsidRDefault="00036C04" w:rsidP="00036C04">
      <w:pPr>
        <w:tabs>
          <w:tab w:val="left" w:pos="5909"/>
        </w:tabs>
        <w:spacing w:before="120" w:after="120" w:line="312" w:lineRule="auto"/>
        <w:jc w:val="both"/>
        <w:rPr>
          <w:b/>
        </w:rPr>
      </w:pPr>
      <w:r w:rsidRPr="005729B5">
        <w:t>Goražde, ________________202</w:t>
      </w:r>
      <w:r w:rsidR="00E92362">
        <w:t>2</w:t>
      </w:r>
    </w:p>
    <w:p w:rsidR="00036C04" w:rsidRPr="005729B5" w:rsidRDefault="00036C04" w:rsidP="00036C04">
      <w:pPr>
        <w:tabs>
          <w:tab w:val="left" w:pos="5428"/>
        </w:tabs>
        <w:spacing w:before="120" w:after="120" w:line="312" w:lineRule="auto"/>
        <w:jc w:val="both"/>
        <w:rPr>
          <w:b/>
          <w:i/>
        </w:rPr>
      </w:pPr>
      <w:r w:rsidRPr="005729B5">
        <w:t>Broj: _________________________</w:t>
      </w:r>
      <w:r w:rsidRPr="005729B5">
        <w:tab/>
      </w:r>
      <w:r w:rsidRPr="005729B5">
        <w:rPr>
          <w:b/>
          <w:i/>
        </w:rPr>
        <w:t xml:space="preserve">              </w:t>
      </w:r>
      <w:r>
        <w:rPr>
          <w:b/>
          <w:i/>
        </w:rPr>
        <w:t xml:space="preserve">         </w:t>
      </w:r>
      <w:r w:rsidRPr="005729B5">
        <w:rPr>
          <w:b/>
          <w:i/>
        </w:rPr>
        <w:t xml:space="preserve">  </w:t>
      </w:r>
      <w:r>
        <w:rPr>
          <w:b/>
          <w:i/>
        </w:rPr>
        <w:t>Haris Salković</w:t>
      </w:r>
    </w:p>
    <w:p w:rsidR="00036C04" w:rsidRDefault="00036C04" w:rsidP="00036C04"/>
    <w:p w:rsidR="00036C04" w:rsidRDefault="00036C04" w:rsidP="00036C04"/>
    <w:p w:rsidR="00036C04" w:rsidRDefault="00036C04" w:rsidP="00036C04"/>
    <w:p w:rsidR="00036C04" w:rsidRDefault="00036C04" w:rsidP="00036C04"/>
    <w:p w:rsidR="00036C04" w:rsidRDefault="00036C04" w:rsidP="00036C04"/>
    <w:p w:rsidR="00036C04" w:rsidRPr="00E95BA0" w:rsidRDefault="00036C04" w:rsidP="00036C04">
      <w:pPr>
        <w:rPr>
          <w:i/>
        </w:rPr>
      </w:pPr>
    </w:p>
    <w:p w:rsidR="00036C04" w:rsidRPr="00E95BA0" w:rsidRDefault="00036C04" w:rsidP="00036C04">
      <w:pPr>
        <w:spacing w:before="120" w:after="120" w:line="312" w:lineRule="auto"/>
        <w:jc w:val="both"/>
        <w:rPr>
          <w:i/>
          <w:sz w:val="19"/>
          <w:szCs w:val="19"/>
        </w:rPr>
      </w:pPr>
      <w:r w:rsidRPr="00E95BA0">
        <w:rPr>
          <w:i/>
          <w:sz w:val="20"/>
          <w:szCs w:val="20"/>
        </w:rPr>
        <w:t>Sa</w:t>
      </w:r>
      <w:r w:rsidRPr="00E95BA0">
        <w:rPr>
          <w:i/>
          <w:sz w:val="19"/>
          <w:szCs w:val="19"/>
        </w:rPr>
        <w:t>glasnost na ovaj Program dala je Vlada Bosansko-podrinjskog kantona Goražde, Odlukom broj: _____________   dana _____________.godine.</w:t>
      </w:r>
    </w:p>
    <w:p w:rsidR="00036C04" w:rsidRDefault="00036C04" w:rsidP="00036C04"/>
    <w:p w:rsidR="00036C04" w:rsidRDefault="00036C04" w:rsidP="00036C04"/>
    <w:p w:rsidR="00036C04" w:rsidRDefault="00036C04" w:rsidP="00036C04"/>
    <w:p w:rsidR="00BD69AC" w:rsidRDefault="00BD69AC"/>
    <w:sectPr w:rsidR="00BD69AC" w:rsidSect="009608F6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65" w:rsidRDefault="00175665" w:rsidP="000D7E02">
      <w:r>
        <w:separator/>
      </w:r>
    </w:p>
  </w:endnote>
  <w:endnote w:type="continuationSeparator" w:id="1">
    <w:p w:rsidR="00175665" w:rsidRDefault="00175665" w:rsidP="000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741"/>
      <w:docPartObj>
        <w:docPartGallery w:val="Page Numbers (Bottom of Page)"/>
        <w:docPartUnique/>
      </w:docPartObj>
    </w:sdtPr>
    <w:sdtContent>
      <w:p w:rsidR="001A4572" w:rsidRDefault="00AB0F3C">
        <w:pPr>
          <w:pStyle w:val="Footer"/>
          <w:jc w:val="right"/>
        </w:pPr>
        <w:fldSimple w:instr=" PAGE   \* MERGEFORMAT ">
          <w:r w:rsidR="004B175C">
            <w:rPr>
              <w:noProof/>
            </w:rPr>
            <w:t>13</w:t>
          </w:r>
        </w:fldSimple>
      </w:p>
    </w:sdtContent>
  </w:sdt>
  <w:p w:rsidR="001A4572" w:rsidRDefault="001A4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65" w:rsidRDefault="00175665" w:rsidP="000D7E02">
      <w:r>
        <w:separator/>
      </w:r>
    </w:p>
  </w:footnote>
  <w:footnote w:type="continuationSeparator" w:id="1">
    <w:p w:rsidR="00175665" w:rsidRDefault="00175665" w:rsidP="000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411"/>
    <w:multiLevelType w:val="hybridMultilevel"/>
    <w:tmpl w:val="3D1826B0"/>
    <w:lvl w:ilvl="0" w:tplc="5EEE451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586E62"/>
    <w:multiLevelType w:val="hybridMultilevel"/>
    <w:tmpl w:val="71068A80"/>
    <w:lvl w:ilvl="0" w:tplc="5724660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D7DDA"/>
    <w:multiLevelType w:val="multilevel"/>
    <w:tmpl w:val="6B702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9E73E83"/>
    <w:multiLevelType w:val="hybridMultilevel"/>
    <w:tmpl w:val="3E7EB216"/>
    <w:lvl w:ilvl="0" w:tplc="6ACCA4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>
    <w:nsid w:val="3BA61112"/>
    <w:multiLevelType w:val="hybridMultilevel"/>
    <w:tmpl w:val="F1144DC4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70D19"/>
    <w:multiLevelType w:val="hybridMultilevel"/>
    <w:tmpl w:val="4B1834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D0B0C"/>
    <w:multiLevelType w:val="hybridMultilevel"/>
    <w:tmpl w:val="F16450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F13AB"/>
    <w:multiLevelType w:val="hybridMultilevel"/>
    <w:tmpl w:val="88B293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EC70695"/>
    <w:multiLevelType w:val="hybridMultilevel"/>
    <w:tmpl w:val="2A28887C"/>
    <w:lvl w:ilvl="0" w:tplc="30D6D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>
    <w:nsid w:val="72BD003A"/>
    <w:multiLevelType w:val="hybridMultilevel"/>
    <w:tmpl w:val="A69EA69A"/>
    <w:lvl w:ilvl="0" w:tplc="B1801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04"/>
    <w:rsid w:val="00004BD1"/>
    <w:rsid w:val="00021258"/>
    <w:rsid w:val="000256DA"/>
    <w:rsid w:val="00036C04"/>
    <w:rsid w:val="00043E2C"/>
    <w:rsid w:val="000B3936"/>
    <w:rsid w:val="000D7E02"/>
    <w:rsid w:val="000E2D28"/>
    <w:rsid w:val="00110D0C"/>
    <w:rsid w:val="0011481E"/>
    <w:rsid w:val="00175665"/>
    <w:rsid w:val="001935BA"/>
    <w:rsid w:val="001A4572"/>
    <w:rsid w:val="001C1084"/>
    <w:rsid w:val="001C2715"/>
    <w:rsid w:val="001D4471"/>
    <w:rsid w:val="001E1EC7"/>
    <w:rsid w:val="00233E11"/>
    <w:rsid w:val="002448F0"/>
    <w:rsid w:val="002A4269"/>
    <w:rsid w:val="002E267C"/>
    <w:rsid w:val="00365B66"/>
    <w:rsid w:val="0042608D"/>
    <w:rsid w:val="00466FF1"/>
    <w:rsid w:val="00470545"/>
    <w:rsid w:val="00486F17"/>
    <w:rsid w:val="004A6144"/>
    <w:rsid w:val="004B175C"/>
    <w:rsid w:val="004E1746"/>
    <w:rsid w:val="00512B1F"/>
    <w:rsid w:val="00514BD5"/>
    <w:rsid w:val="0051753D"/>
    <w:rsid w:val="0055177C"/>
    <w:rsid w:val="005535EA"/>
    <w:rsid w:val="00570184"/>
    <w:rsid w:val="00597BA9"/>
    <w:rsid w:val="005B18D2"/>
    <w:rsid w:val="0061628A"/>
    <w:rsid w:val="00651964"/>
    <w:rsid w:val="006711F1"/>
    <w:rsid w:val="006F40B2"/>
    <w:rsid w:val="007F674F"/>
    <w:rsid w:val="00830917"/>
    <w:rsid w:val="0084417D"/>
    <w:rsid w:val="00870AE7"/>
    <w:rsid w:val="00882DC4"/>
    <w:rsid w:val="008E17D4"/>
    <w:rsid w:val="008E2DCC"/>
    <w:rsid w:val="00935800"/>
    <w:rsid w:val="009608F6"/>
    <w:rsid w:val="00967CD3"/>
    <w:rsid w:val="009F6496"/>
    <w:rsid w:val="00A040AB"/>
    <w:rsid w:val="00A20AFF"/>
    <w:rsid w:val="00A2511D"/>
    <w:rsid w:val="00A57594"/>
    <w:rsid w:val="00AB0F3C"/>
    <w:rsid w:val="00AD1830"/>
    <w:rsid w:val="00AF76A4"/>
    <w:rsid w:val="00B07AD9"/>
    <w:rsid w:val="00B15878"/>
    <w:rsid w:val="00B5531D"/>
    <w:rsid w:val="00B74A5E"/>
    <w:rsid w:val="00B756FD"/>
    <w:rsid w:val="00BD69AC"/>
    <w:rsid w:val="00BF2941"/>
    <w:rsid w:val="00BF694F"/>
    <w:rsid w:val="00D660FD"/>
    <w:rsid w:val="00D971B7"/>
    <w:rsid w:val="00DB1969"/>
    <w:rsid w:val="00DC3C8F"/>
    <w:rsid w:val="00E01945"/>
    <w:rsid w:val="00E135BD"/>
    <w:rsid w:val="00E27F2A"/>
    <w:rsid w:val="00E77990"/>
    <w:rsid w:val="00E903FA"/>
    <w:rsid w:val="00E92362"/>
    <w:rsid w:val="00EF4F81"/>
    <w:rsid w:val="00F3252F"/>
    <w:rsid w:val="00F712B6"/>
    <w:rsid w:val="00F7542D"/>
    <w:rsid w:val="00FE5A8C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C04"/>
    <w:rPr>
      <w:color w:val="0000FF"/>
      <w:u w:val="single"/>
    </w:rPr>
  </w:style>
  <w:style w:type="paragraph" w:styleId="ListParagraph">
    <w:name w:val="List Paragraph"/>
    <w:basedOn w:val="Normal"/>
    <w:qFormat/>
    <w:rsid w:val="00036C04"/>
    <w:pPr>
      <w:ind w:left="720"/>
    </w:pPr>
  </w:style>
  <w:style w:type="paragraph" w:styleId="Title">
    <w:name w:val="Title"/>
    <w:basedOn w:val="Normal"/>
    <w:next w:val="Normal"/>
    <w:link w:val="TitleChar"/>
    <w:qFormat/>
    <w:rsid w:val="00036C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6C04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0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0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0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78CD-2EA8-4C97-8509-B9A47173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2022-09-27T09:03:00Z</cp:lastPrinted>
  <dcterms:created xsi:type="dcterms:W3CDTF">2022-09-05T09:13:00Z</dcterms:created>
  <dcterms:modified xsi:type="dcterms:W3CDTF">2022-09-27T09:04:00Z</dcterms:modified>
</cp:coreProperties>
</file>