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197" w:rsidRDefault="00225106" w:rsidP="00525560">
      <w:pPr>
        <w:spacing w:after="0" w:line="240" w:lineRule="auto"/>
        <w:jc w:val="both"/>
        <w:rPr>
          <w:rFonts w:ascii="Ebrima" w:eastAsia="Times New Roman" w:hAnsi="Ebrima" w:cs="Times New Roman"/>
          <w:b/>
          <w:bCs/>
          <w:sz w:val="24"/>
          <w:szCs w:val="24"/>
          <w:lang w:val="hr-HR"/>
        </w:rPr>
      </w:pPr>
      <w:r w:rsidRPr="00D44D72">
        <w:rPr>
          <w:rFonts w:ascii="Times New Roman" w:eastAsia="Times New Roman" w:hAnsi="Times New Roman" w:cs="Times New Roman"/>
          <w:b/>
          <w:noProof/>
          <w:szCs w:val="20"/>
        </w:rPr>
        <mc:AlternateContent>
          <mc:Choice Requires="wps">
            <w:drawing>
              <wp:anchor distT="0" distB="0" distL="114300" distR="114300" simplePos="0" relativeHeight="251661312" behindDoc="0" locked="0" layoutInCell="1" allowOverlap="1" wp14:anchorId="4FDC81F3" wp14:editId="59721534">
                <wp:simplePos x="0" y="0"/>
                <wp:positionH relativeFrom="column">
                  <wp:posOffset>-447675</wp:posOffset>
                </wp:positionH>
                <wp:positionV relativeFrom="paragraph">
                  <wp:posOffset>116840</wp:posOffset>
                </wp:positionV>
                <wp:extent cx="2576830" cy="8477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C1B" w:rsidRPr="000C0C71" w:rsidRDefault="00073C1B" w:rsidP="00673626">
                            <w:pPr>
                              <w:pStyle w:val="Heading5"/>
                              <w:spacing w:line="120" w:lineRule="atLeast"/>
                              <w:ind w:left="1008"/>
                              <w:rPr>
                                <w:rStyle w:val="SubtleReference"/>
                                <w:rFonts w:asciiTheme="minorHAnsi" w:hAnsiTheme="minorHAnsi"/>
                              </w:rPr>
                            </w:pPr>
                            <w:r w:rsidRPr="000C0C71">
                              <w:rPr>
                                <w:rStyle w:val="SubtleReference"/>
                                <w:rFonts w:asciiTheme="minorHAnsi" w:hAnsiTheme="minorHAnsi"/>
                              </w:rPr>
                              <w:t>Bosna i Hercegovina</w:t>
                            </w:r>
                          </w:p>
                          <w:p w:rsidR="00073C1B" w:rsidRPr="000C0C71" w:rsidRDefault="00073C1B" w:rsidP="00673626">
                            <w:pPr>
                              <w:spacing w:after="0" w:line="120" w:lineRule="atLeast"/>
                              <w:jc w:val="center"/>
                              <w:rPr>
                                <w:rStyle w:val="SubtleReference"/>
                              </w:rPr>
                            </w:pPr>
                            <w:r w:rsidRPr="000C0C71">
                              <w:rPr>
                                <w:rStyle w:val="SubtleReference"/>
                              </w:rPr>
                              <w:t>Federacija Bosne i Hercegovine</w:t>
                            </w:r>
                          </w:p>
                          <w:p w:rsidR="00073C1B" w:rsidRPr="000C0C71" w:rsidRDefault="00073C1B" w:rsidP="00673626">
                            <w:pPr>
                              <w:spacing w:after="0" w:line="120" w:lineRule="atLeast"/>
                              <w:jc w:val="center"/>
                              <w:rPr>
                                <w:rStyle w:val="SubtleReference"/>
                              </w:rPr>
                            </w:pPr>
                            <w:r w:rsidRPr="000C0C71">
                              <w:rPr>
                                <w:rStyle w:val="SubtleReference"/>
                              </w:rPr>
                              <w:t>Bosansko-podrinjski kanton Goražde</w:t>
                            </w:r>
                          </w:p>
                          <w:p w:rsidR="00073C1B" w:rsidRPr="000C0C71" w:rsidRDefault="00073C1B" w:rsidP="00673626">
                            <w:pPr>
                              <w:pStyle w:val="BodyText"/>
                              <w:spacing w:after="0" w:line="120" w:lineRule="atLeast"/>
                              <w:jc w:val="center"/>
                              <w:rPr>
                                <w:rStyle w:val="SubtleReference"/>
                              </w:rPr>
                            </w:pPr>
                            <w:r w:rsidRPr="000C0C71">
                              <w:rPr>
                                <w:rStyle w:val="SubtleReference"/>
                              </w:rPr>
                              <w:t>MINISTARSTVO ZA FINANSIJE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C81F3" id="_x0000_t202" coordsize="21600,21600" o:spt="202" path="m,l,21600r21600,l21600,xe">
                <v:stroke joinstyle="miter"/>
                <v:path gradientshapeok="t" o:connecttype="rect"/>
              </v:shapetype>
              <v:shape id="Text Box 3" o:spid="_x0000_s1026" type="#_x0000_t202" style="position:absolute;left:0;text-align:left;margin-left:-35.25pt;margin-top:9.2pt;width:202.9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nIgg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" stroked="f">
                <v:textbox>
                  <w:txbxContent>
                    <w:p w:rsidR="00073C1B" w:rsidRPr="000C0C71" w:rsidRDefault="00073C1B" w:rsidP="00673626">
                      <w:pPr>
                        <w:pStyle w:val="Heading5"/>
                        <w:spacing w:line="120" w:lineRule="atLeast"/>
                        <w:ind w:left="1008"/>
                        <w:rPr>
                          <w:rStyle w:val="SubtleReference"/>
                          <w:rFonts w:asciiTheme="minorHAnsi" w:hAnsiTheme="minorHAnsi"/>
                        </w:rPr>
                      </w:pPr>
                      <w:r w:rsidRPr="000C0C71">
                        <w:rPr>
                          <w:rStyle w:val="SubtleReference"/>
                          <w:rFonts w:asciiTheme="minorHAnsi" w:hAnsiTheme="minorHAnsi"/>
                        </w:rPr>
                        <w:t>Bosna i Hercegovina</w:t>
                      </w:r>
                    </w:p>
                    <w:p w:rsidR="00073C1B" w:rsidRPr="000C0C71" w:rsidRDefault="00073C1B" w:rsidP="00673626">
                      <w:pPr>
                        <w:spacing w:after="0" w:line="120" w:lineRule="atLeast"/>
                        <w:jc w:val="center"/>
                        <w:rPr>
                          <w:rStyle w:val="SubtleReference"/>
                        </w:rPr>
                      </w:pPr>
                      <w:r w:rsidRPr="000C0C71">
                        <w:rPr>
                          <w:rStyle w:val="SubtleReference"/>
                        </w:rPr>
                        <w:t>Federacija Bosne i Hercegovine</w:t>
                      </w:r>
                    </w:p>
                    <w:p w:rsidR="00073C1B" w:rsidRPr="000C0C71" w:rsidRDefault="00073C1B" w:rsidP="00673626">
                      <w:pPr>
                        <w:spacing w:after="0" w:line="120" w:lineRule="atLeast"/>
                        <w:jc w:val="center"/>
                        <w:rPr>
                          <w:rStyle w:val="SubtleReference"/>
                        </w:rPr>
                      </w:pPr>
                      <w:r w:rsidRPr="000C0C71">
                        <w:rPr>
                          <w:rStyle w:val="SubtleReference"/>
                        </w:rPr>
                        <w:t>Bosansko-podrinjski kanton Goražde</w:t>
                      </w:r>
                    </w:p>
                    <w:p w:rsidR="00073C1B" w:rsidRPr="000C0C71" w:rsidRDefault="00073C1B" w:rsidP="00673626">
                      <w:pPr>
                        <w:pStyle w:val="BodyText"/>
                        <w:spacing w:after="0" w:line="120" w:lineRule="atLeast"/>
                        <w:jc w:val="center"/>
                        <w:rPr>
                          <w:rStyle w:val="SubtleReference"/>
                        </w:rPr>
                      </w:pPr>
                      <w:r w:rsidRPr="000C0C71">
                        <w:rPr>
                          <w:rStyle w:val="SubtleReference"/>
                        </w:rPr>
                        <w:t>MINISTARSTVO ZA FINANSIJE</w:t>
                      </w:r>
                    </w:p>
                  </w:txbxContent>
                </v:textbox>
              </v:shape>
            </w:pict>
          </mc:Fallback>
        </mc:AlternateContent>
      </w:r>
      <w:r w:rsidRPr="00D44D72">
        <w:rPr>
          <w:rFonts w:ascii="Times New Roman" w:eastAsia="Times New Roman" w:hAnsi="Times New Roman" w:cs="Times New Roman"/>
          <w:b/>
          <w:noProof/>
          <w:szCs w:val="20"/>
        </w:rPr>
        <mc:AlternateContent>
          <mc:Choice Requires="wps">
            <w:drawing>
              <wp:anchor distT="0" distB="0" distL="114300" distR="114300" simplePos="0" relativeHeight="251662336" behindDoc="0" locked="0" layoutInCell="1" allowOverlap="1" wp14:anchorId="368B6846" wp14:editId="1D2C2929">
                <wp:simplePos x="0" y="0"/>
                <wp:positionH relativeFrom="column">
                  <wp:posOffset>3400425</wp:posOffset>
                </wp:positionH>
                <wp:positionV relativeFrom="paragraph">
                  <wp:posOffset>145414</wp:posOffset>
                </wp:positionV>
                <wp:extent cx="2914650" cy="9239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C1B" w:rsidRPr="000C0C71" w:rsidRDefault="00073C1B" w:rsidP="00673626">
                            <w:pPr>
                              <w:spacing w:after="0" w:line="120" w:lineRule="atLeast"/>
                              <w:jc w:val="center"/>
                              <w:rPr>
                                <w:rStyle w:val="SubtleReference"/>
                              </w:rPr>
                            </w:pPr>
                            <w:r w:rsidRPr="000C0C71">
                              <w:rPr>
                                <w:rStyle w:val="SubtleReference"/>
                              </w:rPr>
                              <w:t>Босна и Херцеговина</w:t>
                            </w:r>
                          </w:p>
                          <w:p w:rsidR="00073C1B" w:rsidRPr="000C0C71" w:rsidRDefault="00073C1B" w:rsidP="00673626">
                            <w:pPr>
                              <w:spacing w:after="0" w:line="120" w:lineRule="atLeast"/>
                              <w:jc w:val="center"/>
                              <w:rPr>
                                <w:rStyle w:val="SubtleReference"/>
                              </w:rPr>
                            </w:pPr>
                            <w:r w:rsidRPr="000C0C71">
                              <w:rPr>
                                <w:rStyle w:val="SubtleReference"/>
                              </w:rPr>
                              <w:t>Федерација Босне и Херцеговине</w:t>
                            </w:r>
                          </w:p>
                          <w:p w:rsidR="00073C1B" w:rsidRPr="000C0C71" w:rsidRDefault="00073C1B" w:rsidP="00673626">
                            <w:pPr>
                              <w:spacing w:after="0" w:line="120" w:lineRule="atLeast"/>
                              <w:jc w:val="center"/>
                              <w:rPr>
                                <w:rStyle w:val="SubtleReference"/>
                              </w:rPr>
                            </w:pPr>
                            <w:r w:rsidRPr="000C0C71">
                              <w:rPr>
                                <w:rStyle w:val="SubtleReference"/>
                              </w:rPr>
                              <w:t>Босанско-подрињски кантон Горажде</w:t>
                            </w:r>
                          </w:p>
                          <w:p w:rsidR="00073C1B" w:rsidRPr="000C0C71" w:rsidRDefault="00073C1B" w:rsidP="00673626">
                            <w:pPr>
                              <w:pStyle w:val="BodyText2"/>
                              <w:spacing w:after="0" w:line="120" w:lineRule="atLeast"/>
                              <w:jc w:val="center"/>
                              <w:rPr>
                                <w:rStyle w:val="SubtleReference"/>
                              </w:rPr>
                            </w:pPr>
                            <w:r w:rsidRPr="000C0C71">
                              <w:rPr>
                                <w:rStyle w:val="SubtleReference"/>
                              </w:rPr>
                              <w:t>МИНИСТАРСТВО ЗА ФИНАНСИЈЕ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B6846" id="Text Box 4" o:spid="_x0000_s1027" type="#_x0000_t202" style="position:absolute;left:0;text-align:left;margin-left:267.75pt;margin-top:11.45pt;width:229.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" stroked="f">
                <v:textbox>
                  <w:txbxContent>
                    <w:p w:rsidR="00073C1B" w:rsidRPr="000C0C71" w:rsidRDefault="00073C1B" w:rsidP="00673626">
                      <w:pPr>
                        <w:spacing w:after="0" w:line="120" w:lineRule="atLeast"/>
                        <w:jc w:val="center"/>
                        <w:rPr>
                          <w:rStyle w:val="SubtleReference"/>
                        </w:rPr>
                      </w:pPr>
                      <w:r w:rsidRPr="000C0C71">
                        <w:rPr>
                          <w:rStyle w:val="SubtleReference"/>
                        </w:rPr>
                        <w:t>Босна и Херцеговина</w:t>
                      </w:r>
                    </w:p>
                    <w:p w:rsidR="00073C1B" w:rsidRPr="000C0C71" w:rsidRDefault="00073C1B" w:rsidP="00673626">
                      <w:pPr>
                        <w:spacing w:after="0" w:line="120" w:lineRule="atLeast"/>
                        <w:jc w:val="center"/>
                        <w:rPr>
                          <w:rStyle w:val="SubtleReference"/>
                        </w:rPr>
                      </w:pPr>
                      <w:r w:rsidRPr="000C0C71">
                        <w:rPr>
                          <w:rStyle w:val="SubtleReference"/>
                        </w:rPr>
                        <w:t>Федерација Босне и Херцеговине</w:t>
                      </w:r>
                    </w:p>
                    <w:p w:rsidR="00073C1B" w:rsidRPr="000C0C71" w:rsidRDefault="00073C1B" w:rsidP="00673626">
                      <w:pPr>
                        <w:spacing w:after="0" w:line="120" w:lineRule="atLeast"/>
                        <w:jc w:val="center"/>
                        <w:rPr>
                          <w:rStyle w:val="SubtleReference"/>
                        </w:rPr>
                      </w:pPr>
                      <w:r w:rsidRPr="000C0C71">
                        <w:rPr>
                          <w:rStyle w:val="SubtleReference"/>
                        </w:rPr>
                        <w:t>Босанско-подрињски кантон Горажде</w:t>
                      </w:r>
                    </w:p>
                    <w:p w:rsidR="00073C1B" w:rsidRPr="000C0C71" w:rsidRDefault="00073C1B" w:rsidP="00673626">
                      <w:pPr>
                        <w:pStyle w:val="BodyText2"/>
                        <w:spacing w:after="0" w:line="120" w:lineRule="atLeast"/>
                        <w:jc w:val="center"/>
                        <w:rPr>
                          <w:rStyle w:val="SubtleReference"/>
                        </w:rPr>
                      </w:pPr>
                      <w:r w:rsidRPr="000C0C71">
                        <w:rPr>
                          <w:rStyle w:val="SubtleReference"/>
                        </w:rPr>
                        <w:t>МИНИСТАРСТВО ЗА ФИНАНСИЈЕ</w:t>
                      </w:r>
                    </w:p>
                  </w:txbxContent>
                </v:textbox>
              </v:shape>
            </w:pict>
          </mc:Fallback>
        </mc:AlternateContent>
      </w:r>
    </w:p>
    <w:p w:rsidR="00D44D72" w:rsidRDefault="00225106" w:rsidP="00AF2FD6">
      <w:pPr>
        <w:tabs>
          <w:tab w:val="left" w:pos="4536"/>
        </w:tabs>
        <w:spacing w:after="0" w:line="240" w:lineRule="auto"/>
        <w:jc w:val="center"/>
        <w:rPr>
          <w:rFonts w:ascii="Times New Roman" w:eastAsia="Times New Roman" w:hAnsi="Times New Roman" w:cs="Times New Roman"/>
          <w:b/>
          <w:noProof/>
          <w:szCs w:val="20"/>
        </w:rPr>
      </w:pPr>
      <w:bookmarkStart w:id="0" w:name="_Toc33322486"/>
      <w:bookmarkStart w:id="1" w:name="_Toc33323320"/>
      <w:bookmarkStart w:id="2" w:name="_Toc33350754"/>
      <w:r>
        <w:rPr>
          <w:rFonts w:ascii="Times New Roman" w:eastAsia="Times New Roman" w:hAnsi="Times New Roman" w:cs="Times New Roman"/>
          <w:b/>
          <w:noProof/>
          <w:szCs w:val="20"/>
        </w:rPr>
        <w:drawing>
          <wp:inline distT="0" distB="0" distL="0" distR="0" wp14:anchorId="55A1C430">
            <wp:extent cx="923925" cy="90297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02970"/>
                    </a:xfrm>
                    <a:prstGeom prst="rect">
                      <a:avLst/>
                    </a:prstGeom>
                    <a:noFill/>
                  </pic:spPr>
                </pic:pic>
              </a:graphicData>
            </a:graphic>
          </wp:inline>
        </w:drawing>
      </w:r>
    </w:p>
    <w:p w:rsidR="000C0C71" w:rsidRDefault="000C0C71" w:rsidP="00D44D72">
      <w:pPr>
        <w:tabs>
          <w:tab w:val="left" w:pos="4536"/>
        </w:tabs>
        <w:spacing w:after="0" w:line="240" w:lineRule="auto"/>
        <w:jc w:val="both"/>
        <w:rPr>
          <w:rFonts w:ascii="Times New Roman" w:eastAsia="Times New Roman" w:hAnsi="Times New Roman" w:cs="Times New Roman"/>
          <w:b/>
          <w:noProof/>
          <w:szCs w:val="20"/>
        </w:rPr>
      </w:pPr>
    </w:p>
    <w:p w:rsidR="000C0C71" w:rsidRDefault="000C0C71" w:rsidP="00D44D72">
      <w:pPr>
        <w:tabs>
          <w:tab w:val="left" w:pos="4536"/>
        </w:tabs>
        <w:spacing w:after="0" w:line="240" w:lineRule="auto"/>
        <w:jc w:val="both"/>
        <w:rPr>
          <w:rFonts w:ascii="Times New Roman" w:eastAsia="Times New Roman" w:hAnsi="Times New Roman" w:cs="Times New Roman"/>
          <w:b/>
          <w:noProof/>
          <w:szCs w:val="20"/>
        </w:rPr>
      </w:pPr>
    </w:p>
    <w:p w:rsidR="00AD2536" w:rsidRDefault="00AD2536" w:rsidP="00D44D72">
      <w:pPr>
        <w:spacing w:after="0" w:line="240" w:lineRule="auto"/>
        <w:jc w:val="center"/>
        <w:rPr>
          <w:rFonts w:ascii="Times New Roman" w:eastAsia="Times New Roman" w:hAnsi="Times New Roman" w:cs="Times New Roman"/>
          <w:b/>
          <w:sz w:val="36"/>
          <w:szCs w:val="36"/>
          <w:lang w:val="hr-HR"/>
        </w:rPr>
      </w:pPr>
    </w:p>
    <w:p w:rsidR="00D44D72" w:rsidRPr="009026F2" w:rsidRDefault="00D44D72" w:rsidP="00D44D72">
      <w:pPr>
        <w:spacing w:after="0" w:line="240" w:lineRule="auto"/>
        <w:jc w:val="center"/>
        <w:rPr>
          <w:rFonts w:ascii="Times New Roman" w:eastAsia="Times New Roman" w:hAnsi="Times New Roman" w:cs="Times New Roman"/>
          <w:b/>
          <w:sz w:val="36"/>
          <w:szCs w:val="36"/>
          <w:lang w:val="hr-HR"/>
        </w:rPr>
      </w:pPr>
      <w:r w:rsidRPr="009026F2">
        <w:rPr>
          <w:rFonts w:ascii="Times New Roman" w:eastAsia="Times New Roman" w:hAnsi="Times New Roman" w:cs="Times New Roman"/>
          <w:b/>
          <w:sz w:val="36"/>
          <w:szCs w:val="36"/>
          <w:lang w:val="hr-HR"/>
        </w:rPr>
        <w:t xml:space="preserve">SMJERNICE EKONOMSKE </w:t>
      </w:r>
      <w:r w:rsidR="005545DD">
        <w:rPr>
          <w:rFonts w:ascii="Times New Roman" w:eastAsia="Times New Roman" w:hAnsi="Times New Roman" w:cs="Times New Roman"/>
          <w:b/>
          <w:sz w:val="36"/>
          <w:szCs w:val="36"/>
          <w:lang w:val="hr-HR"/>
        </w:rPr>
        <w:t xml:space="preserve">I FISKALNE </w:t>
      </w:r>
      <w:r w:rsidRPr="009026F2">
        <w:rPr>
          <w:rFonts w:ascii="Times New Roman" w:eastAsia="Times New Roman" w:hAnsi="Times New Roman" w:cs="Times New Roman"/>
          <w:b/>
          <w:sz w:val="36"/>
          <w:szCs w:val="36"/>
          <w:lang w:val="hr-HR"/>
        </w:rPr>
        <w:t xml:space="preserve">POLITIKE  </w:t>
      </w:r>
    </w:p>
    <w:p w:rsidR="00D44D72" w:rsidRDefault="00D44D72" w:rsidP="00D44D72">
      <w:pPr>
        <w:spacing w:after="0" w:line="240" w:lineRule="auto"/>
        <w:jc w:val="center"/>
        <w:rPr>
          <w:rFonts w:ascii="Times New Roman" w:eastAsia="Times New Roman" w:hAnsi="Times New Roman" w:cs="Times New Roman"/>
          <w:b/>
          <w:sz w:val="36"/>
          <w:szCs w:val="36"/>
          <w:lang w:val="hr-HR"/>
        </w:rPr>
      </w:pPr>
      <w:r w:rsidRPr="009026F2">
        <w:rPr>
          <w:rFonts w:ascii="Times New Roman" w:eastAsia="Times New Roman" w:hAnsi="Times New Roman" w:cs="Times New Roman"/>
          <w:b/>
          <w:sz w:val="36"/>
          <w:szCs w:val="36"/>
          <w:lang w:val="hr-HR"/>
        </w:rPr>
        <w:t>BOSANSKO-PODRINJSKO</w:t>
      </w:r>
      <w:r w:rsidR="003929EB">
        <w:rPr>
          <w:rFonts w:ascii="Times New Roman" w:eastAsia="Times New Roman" w:hAnsi="Times New Roman" w:cs="Times New Roman"/>
          <w:b/>
          <w:sz w:val="36"/>
          <w:szCs w:val="36"/>
          <w:lang w:val="hr-HR"/>
        </w:rPr>
        <w:t>G KANTONA GORAŽDE ZA PERIOD 2024.-2026</w:t>
      </w:r>
      <w:r w:rsidRPr="009026F2">
        <w:rPr>
          <w:rFonts w:ascii="Times New Roman" w:eastAsia="Times New Roman" w:hAnsi="Times New Roman" w:cs="Times New Roman"/>
          <w:b/>
          <w:sz w:val="36"/>
          <w:szCs w:val="36"/>
          <w:lang w:val="hr-HR"/>
        </w:rPr>
        <w:t>. godina</w:t>
      </w:r>
    </w:p>
    <w:p w:rsidR="008D4F34" w:rsidRDefault="008D4F34" w:rsidP="00D44D72">
      <w:pPr>
        <w:spacing w:after="0" w:line="240" w:lineRule="auto"/>
        <w:jc w:val="center"/>
        <w:rPr>
          <w:rFonts w:ascii="Times New Roman" w:eastAsia="Times New Roman" w:hAnsi="Times New Roman" w:cs="Times New Roman"/>
          <w:b/>
          <w:sz w:val="36"/>
          <w:szCs w:val="36"/>
          <w:lang w:val="hr-HR"/>
        </w:rPr>
      </w:pPr>
    </w:p>
    <w:p w:rsidR="008D4F34" w:rsidRPr="009026F2" w:rsidRDefault="008D4F34" w:rsidP="00D44D72">
      <w:pPr>
        <w:spacing w:after="0" w:line="240" w:lineRule="auto"/>
        <w:jc w:val="center"/>
        <w:rPr>
          <w:rFonts w:ascii="Times New Roman" w:eastAsia="Times New Roman" w:hAnsi="Times New Roman" w:cs="Times New Roman"/>
          <w:b/>
          <w:szCs w:val="20"/>
          <w:lang w:val="hr-HR"/>
        </w:rPr>
      </w:pPr>
    </w:p>
    <w:p w:rsidR="000C0C71" w:rsidRPr="009026F2" w:rsidRDefault="008D4F34" w:rsidP="00D44D72">
      <w:pPr>
        <w:spacing w:after="0" w:line="240" w:lineRule="auto"/>
        <w:jc w:val="center"/>
        <w:rPr>
          <w:rFonts w:ascii="Times New Roman" w:eastAsia="Times New Roman" w:hAnsi="Times New Roman" w:cs="Times New Roman"/>
          <w:b/>
          <w:sz w:val="40"/>
          <w:szCs w:val="40"/>
          <w:lang w:val="hr-HR"/>
        </w:rPr>
      </w:pPr>
      <w:r>
        <w:rPr>
          <w:rFonts w:ascii="Times New Roman" w:eastAsia="Times New Roman" w:hAnsi="Times New Roman" w:cs="Times New Roman"/>
          <w:b/>
          <w:noProof/>
          <w:sz w:val="40"/>
          <w:szCs w:val="40"/>
        </w:rPr>
        <w:drawing>
          <wp:inline distT="0" distB="0" distL="0" distR="0" wp14:anchorId="15EBAD31" wp14:editId="0D5FF0A5">
            <wp:extent cx="5895975" cy="3133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896756" cy="3134140"/>
                    </a:xfrm>
                    <a:prstGeom prst="rect">
                      <a:avLst/>
                    </a:prstGeom>
                    <a:noFill/>
                  </pic:spPr>
                </pic:pic>
              </a:graphicData>
            </a:graphic>
          </wp:inline>
        </w:drawing>
      </w:r>
    </w:p>
    <w:p w:rsidR="000C0C71" w:rsidRPr="00D44D72" w:rsidRDefault="000C0C71" w:rsidP="00D44D72">
      <w:pPr>
        <w:spacing w:after="0" w:line="240" w:lineRule="auto"/>
        <w:jc w:val="center"/>
        <w:rPr>
          <w:rFonts w:ascii="Times New Roman" w:eastAsia="Times New Roman" w:hAnsi="Times New Roman" w:cs="Times New Roman"/>
          <w:b/>
          <w:sz w:val="40"/>
          <w:szCs w:val="40"/>
          <w:lang w:val="hr-HR"/>
        </w:rPr>
      </w:pPr>
    </w:p>
    <w:p w:rsidR="000C0C71" w:rsidRDefault="000C0C71" w:rsidP="00D44D72">
      <w:pPr>
        <w:spacing w:after="0" w:line="240" w:lineRule="auto"/>
        <w:jc w:val="center"/>
        <w:rPr>
          <w:rFonts w:ascii="Times New Roman" w:eastAsia="Times New Roman" w:hAnsi="Times New Roman" w:cs="Times New Roman"/>
          <w:b/>
          <w:sz w:val="40"/>
          <w:szCs w:val="40"/>
          <w:lang w:val="hr-HR"/>
        </w:rPr>
      </w:pPr>
    </w:p>
    <w:p w:rsidR="0092179D" w:rsidRDefault="0092179D" w:rsidP="00D44D72">
      <w:pPr>
        <w:spacing w:after="0" w:line="240" w:lineRule="auto"/>
        <w:jc w:val="center"/>
        <w:rPr>
          <w:rFonts w:ascii="Times New Roman" w:eastAsia="Times New Roman" w:hAnsi="Times New Roman" w:cs="Times New Roman"/>
          <w:b/>
          <w:sz w:val="40"/>
          <w:szCs w:val="40"/>
          <w:lang w:val="hr-HR"/>
        </w:rPr>
      </w:pPr>
    </w:p>
    <w:p w:rsidR="0092179D" w:rsidRDefault="0092179D" w:rsidP="00D44D72">
      <w:pPr>
        <w:spacing w:after="0" w:line="240" w:lineRule="auto"/>
        <w:jc w:val="center"/>
        <w:rPr>
          <w:rFonts w:ascii="Times New Roman" w:eastAsia="Times New Roman" w:hAnsi="Times New Roman" w:cs="Times New Roman"/>
          <w:b/>
          <w:sz w:val="40"/>
          <w:szCs w:val="40"/>
          <w:lang w:val="hr-HR"/>
        </w:rPr>
      </w:pPr>
    </w:p>
    <w:p w:rsidR="0092179D" w:rsidRDefault="0092179D" w:rsidP="00D44D72">
      <w:pPr>
        <w:spacing w:after="0" w:line="240" w:lineRule="auto"/>
        <w:jc w:val="center"/>
        <w:rPr>
          <w:rFonts w:ascii="Times New Roman" w:eastAsia="Times New Roman" w:hAnsi="Times New Roman" w:cs="Times New Roman"/>
          <w:b/>
          <w:sz w:val="40"/>
          <w:szCs w:val="40"/>
          <w:lang w:val="hr-HR"/>
        </w:rPr>
      </w:pPr>
    </w:p>
    <w:p w:rsidR="00D44D72" w:rsidRPr="003A7A2B" w:rsidRDefault="00D44D72" w:rsidP="00D44D72">
      <w:pPr>
        <w:spacing w:after="0" w:line="240" w:lineRule="auto"/>
        <w:jc w:val="center"/>
        <w:rPr>
          <w:rFonts w:ascii="Ebrima" w:eastAsia="Times New Roman" w:hAnsi="Ebrima" w:cs="Times New Roman"/>
          <w:b/>
          <w:color w:val="0070C0"/>
          <w:sz w:val="24"/>
          <w:szCs w:val="24"/>
          <w:lang w:val="hr-HR"/>
        </w:rPr>
        <w:sectPr w:rsidR="00D44D72" w:rsidRPr="003A7A2B" w:rsidSect="00670CE5">
          <w:headerReference w:type="default" r:id="rId10"/>
          <w:footerReference w:type="even" r:id="rId11"/>
          <w:footerReference w:type="default" r:id="rId12"/>
          <w:headerReference w:type="first" r:id="rId13"/>
          <w:footerReference w:type="first" r:id="rId14"/>
          <w:pgSz w:w="11909" w:h="16834" w:code="9"/>
          <w:pgMar w:top="1440" w:right="1440" w:bottom="1440" w:left="1440" w:header="1021" w:footer="1021" w:gutter="0"/>
          <w:pgNumType w:start="0" w:chapStyle="1"/>
          <w:cols w:space="720"/>
          <w:titlePg/>
        </w:sectPr>
      </w:pPr>
      <w:r w:rsidRPr="003A7A2B">
        <w:rPr>
          <w:rFonts w:ascii="Ebrima" w:eastAsia="Times New Roman" w:hAnsi="Ebrima" w:cs="Times New Roman"/>
          <w:b/>
          <w:color w:val="0070C0"/>
          <w:sz w:val="24"/>
          <w:szCs w:val="24"/>
          <w:lang w:val="hr-HR"/>
        </w:rPr>
        <w:t xml:space="preserve">      Goražde, </w:t>
      </w:r>
      <w:r w:rsidR="005F1BB3" w:rsidRPr="003A7A2B">
        <w:rPr>
          <w:rFonts w:ascii="Ebrima" w:eastAsia="Times New Roman" w:hAnsi="Ebrima" w:cs="Times New Roman"/>
          <w:b/>
          <w:color w:val="0070C0"/>
          <w:sz w:val="24"/>
          <w:szCs w:val="24"/>
          <w:lang w:val="hr-HR"/>
        </w:rPr>
        <w:t>Maj</w:t>
      </w:r>
      <w:r w:rsidRPr="003A7A2B">
        <w:rPr>
          <w:rFonts w:ascii="Ebrima" w:eastAsia="Times New Roman" w:hAnsi="Ebrima" w:cs="Times New Roman"/>
          <w:b/>
          <w:color w:val="0070C0"/>
          <w:sz w:val="24"/>
          <w:szCs w:val="24"/>
          <w:lang w:val="hr-HR"/>
        </w:rPr>
        <w:t xml:space="preserve"> </w:t>
      </w:r>
      <w:r w:rsidR="008D4F34" w:rsidRPr="003A7A2B">
        <w:rPr>
          <w:rFonts w:ascii="Ebrima" w:eastAsia="Times New Roman" w:hAnsi="Ebrima" w:cs="Times New Roman"/>
          <w:b/>
          <w:color w:val="0070C0"/>
          <w:sz w:val="24"/>
          <w:szCs w:val="24"/>
          <w:lang w:val="hr-HR"/>
        </w:rPr>
        <w:t>2023</w:t>
      </w:r>
      <w:r w:rsidRPr="003A7A2B">
        <w:rPr>
          <w:rFonts w:ascii="Ebrima" w:eastAsia="Times New Roman" w:hAnsi="Ebrima" w:cs="Times New Roman"/>
          <w:b/>
          <w:color w:val="0070C0"/>
          <w:sz w:val="24"/>
          <w:szCs w:val="24"/>
          <w:lang w:val="hr-HR"/>
        </w:rPr>
        <w:t>. godine</w:t>
      </w:r>
    </w:p>
    <w:bookmarkEnd w:id="0"/>
    <w:bookmarkEnd w:id="1"/>
    <w:bookmarkEnd w:id="2"/>
    <w:p w:rsidR="00D44D72" w:rsidRPr="00A324E5" w:rsidRDefault="00D44D72" w:rsidP="00525560">
      <w:pPr>
        <w:spacing w:after="0" w:line="240" w:lineRule="auto"/>
        <w:jc w:val="both"/>
        <w:rPr>
          <w:rFonts w:ascii="Ebrima" w:eastAsia="Times New Roman" w:hAnsi="Ebrima" w:cs="Times New Roman"/>
          <w:b/>
          <w:bCs/>
          <w:color w:val="0070C0"/>
          <w:sz w:val="24"/>
          <w:szCs w:val="24"/>
          <w:lang w:val="hr-HR"/>
        </w:rPr>
      </w:pPr>
    </w:p>
    <w:p w:rsidR="00525560" w:rsidRPr="00314FA4" w:rsidRDefault="00525560" w:rsidP="00525560">
      <w:pPr>
        <w:spacing w:after="0" w:line="240" w:lineRule="auto"/>
        <w:jc w:val="both"/>
        <w:rPr>
          <w:rFonts w:ascii="Ebrima" w:eastAsia="Times New Roman" w:hAnsi="Ebrima" w:cs="Times New Roman"/>
          <w:b/>
          <w:bCs/>
          <w:sz w:val="24"/>
          <w:szCs w:val="24"/>
          <w:lang w:val="hr-HR"/>
        </w:rPr>
      </w:pPr>
      <w:r w:rsidRPr="00314FA4">
        <w:rPr>
          <w:rFonts w:ascii="Ebrima" w:eastAsia="Times New Roman" w:hAnsi="Ebrima" w:cs="Times New Roman"/>
          <w:b/>
          <w:bCs/>
          <w:sz w:val="24"/>
          <w:szCs w:val="24"/>
          <w:lang w:val="hr-HR"/>
        </w:rPr>
        <w:t xml:space="preserve">UVOD </w:t>
      </w:r>
    </w:p>
    <w:p w:rsidR="00525560" w:rsidRPr="00314FA4" w:rsidRDefault="00525560" w:rsidP="00525560">
      <w:pPr>
        <w:autoSpaceDE w:val="0"/>
        <w:autoSpaceDN w:val="0"/>
        <w:adjustRightInd w:val="0"/>
        <w:spacing w:before="120" w:after="120" w:line="240" w:lineRule="auto"/>
        <w:jc w:val="both"/>
        <w:rPr>
          <w:rFonts w:ascii="Ebrima" w:eastAsia="Times New Roman" w:hAnsi="Ebrima" w:cs="Times New Roman"/>
          <w:sz w:val="24"/>
          <w:szCs w:val="24"/>
          <w:lang w:val="hr-BA" w:eastAsia="bs-Latn-BA"/>
        </w:rPr>
      </w:pPr>
      <w:r w:rsidRPr="00314FA4">
        <w:rPr>
          <w:rFonts w:ascii="Ebrima" w:eastAsia="Times New Roman" w:hAnsi="Ebrima" w:cs="Times New Roman"/>
          <w:sz w:val="24"/>
          <w:szCs w:val="24"/>
          <w:lang w:val="hr-BA" w:eastAsia="bs-Latn-BA"/>
        </w:rPr>
        <w:t xml:space="preserve">U skladu sa Zakonom o budžetima u Federaciji Bosne i Hercegovine (Službene novine FBiH, broj: </w:t>
      </w:r>
      <w:r w:rsidRPr="00314FA4">
        <w:rPr>
          <w:rFonts w:ascii="Ebrima" w:eastAsia="Times New Roman" w:hAnsi="Ebrima" w:cs="Times New Roman"/>
          <w:bCs/>
          <w:sz w:val="24"/>
          <w:szCs w:val="24"/>
          <w:lang w:val="en-GB"/>
        </w:rPr>
        <w:t>102/13, 9/14, 13/14, 8/15, 91/15</w:t>
      </w:r>
      <w:r w:rsidR="007A430C" w:rsidRPr="00314FA4">
        <w:rPr>
          <w:rFonts w:ascii="Ebrima" w:eastAsia="Times New Roman" w:hAnsi="Ebrima" w:cs="Times New Roman"/>
          <w:bCs/>
          <w:sz w:val="24"/>
          <w:szCs w:val="24"/>
          <w:lang w:val="en-GB"/>
        </w:rPr>
        <w:t xml:space="preserve">, 102/15, 104/16, 5/18, 11/19, </w:t>
      </w:r>
      <w:r w:rsidRPr="00314FA4">
        <w:rPr>
          <w:rFonts w:ascii="Ebrima" w:eastAsia="Times New Roman" w:hAnsi="Ebrima" w:cs="Times New Roman"/>
          <w:bCs/>
          <w:sz w:val="24"/>
          <w:szCs w:val="24"/>
          <w:lang w:val="en-GB"/>
        </w:rPr>
        <w:t>99/19</w:t>
      </w:r>
      <w:r w:rsidR="007A430C" w:rsidRPr="00314FA4">
        <w:rPr>
          <w:rFonts w:ascii="Ebrima" w:eastAsia="Times New Roman" w:hAnsi="Ebrima" w:cs="Times New Roman"/>
          <w:bCs/>
          <w:sz w:val="24"/>
          <w:szCs w:val="24"/>
          <w:lang w:val="en-GB"/>
        </w:rPr>
        <w:t xml:space="preserve"> i 25/22</w:t>
      </w:r>
      <w:r w:rsidRPr="00314FA4">
        <w:rPr>
          <w:rFonts w:ascii="Ebrima" w:eastAsia="Times New Roman" w:hAnsi="Ebrima" w:cs="Times New Roman"/>
          <w:bCs/>
          <w:sz w:val="24"/>
          <w:szCs w:val="24"/>
          <w:lang w:val="en-GB"/>
        </w:rPr>
        <w:t>)</w:t>
      </w:r>
      <w:r w:rsidRPr="00314FA4">
        <w:rPr>
          <w:rFonts w:ascii="Ebrima" w:eastAsia="Times New Roman" w:hAnsi="Ebrima" w:cs="Times New Roman"/>
          <w:sz w:val="24"/>
          <w:szCs w:val="24"/>
          <w:lang w:val="hr-BA" w:eastAsia="bs-Latn-BA"/>
        </w:rPr>
        <w:t xml:space="preserve">, Vlada Bosansko-podrinjskog kantona Goražde, na prijedlog Ministarstva za finansije Bosansko-podrinjskog kantona Goražde, donosi Smjernice ekonomske i fiskalne politike za period </w:t>
      </w:r>
      <w:r w:rsidR="007A430C" w:rsidRPr="00314FA4">
        <w:rPr>
          <w:rFonts w:ascii="Ebrima" w:eastAsia="Times New Roman" w:hAnsi="Ebrima" w:cs="Times New Roman"/>
          <w:sz w:val="24"/>
          <w:szCs w:val="24"/>
          <w:lang w:val="hr-BA" w:eastAsia="bs-Latn-BA"/>
        </w:rPr>
        <w:t>2024. – 2026</w:t>
      </w:r>
      <w:r w:rsidRPr="00314FA4">
        <w:rPr>
          <w:rFonts w:ascii="Ebrima" w:eastAsia="Times New Roman" w:hAnsi="Ebrima" w:cs="Times New Roman"/>
          <w:sz w:val="24"/>
          <w:szCs w:val="24"/>
          <w:lang w:val="hr-BA" w:eastAsia="bs-Latn-BA"/>
        </w:rPr>
        <w:t>. godina.</w:t>
      </w:r>
    </w:p>
    <w:p w:rsidR="00525560" w:rsidRPr="00314FA4" w:rsidRDefault="00525560" w:rsidP="00525560">
      <w:pPr>
        <w:autoSpaceDE w:val="0"/>
        <w:autoSpaceDN w:val="0"/>
        <w:adjustRightInd w:val="0"/>
        <w:spacing w:before="120" w:after="120" w:line="240" w:lineRule="auto"/>
        <w:jc w:val="both"/>
        <w:rPr>
          <w:rFonts w:ascii="Ebrima" w:eastAsia="Times New Roman" w:hAnsi="Ebrima" w:cs="Times New Roman"/>
          <w:sz w:val="24"/>
          <w:szCs w:val="24"/>
          <w:lang w:val="hr-BA" w:eastAsia="bs-Latn-BA"/>
        </w:rPr>
      </w:pPr>
      <w:r w:rsidRPr="00314FA4">
        <w:rPr>
          <w:rFonts w:ascii="Ebrima" w:eastAsia="Times New Roman" w:hAnsi="Ebrima" w:cs="Times New Roman"/>
          <w:sz w:val="24"/>
          <w:szCs w:val="24"/>
          <w:lang w:val="hr-BA" w:eastAsia="bs-Latn-BA"/>
        </w:rPr>
        <w:t>Zakonom o Budžetima u Federaciji definisano je da Smjernice sadrže:</w:t>
      </w:r>
    </w:p>
    <w:p w:rsidR="00525560" w:rsidRPr="00314FA4" w:rsidRDefault="00525560" w:rsidP="00525560">
      <w:pPr>
        <w:numPr>
          <w:ilvl w:val="0"/>
          <w:numId w:val="3"/>
        </w:numPr>
        <w:autoSpaceDE w:val="0"/>
        <w:autoSpaceDN w:val="0"/>
        <w:adjustRightInd w:val="0"/>
        <w:spacing w:before="120" w:after="120" w:line="276" w:lineRule="auto"/>
        <w:contextualSpacing/>
        <w:jc w:val="both"/>
        <w:rPr>
          <w:rFonts w:ascii="Ebrima" w:eastAsia="Calibri" w:hAnsi="Ebrima" w:cs="Times New Roman"/>
          <w:sz w:val="24"/>
          <w:szCs w:val="24"/>
          <w:lang w:val="hr-BA" w:eastAsia="bs-Latn-BA"/>
        </w:rPr>
      </w:pPr>
      <w:r w:rsidRPr="00314FA4">
        <w:rPr>
          <w:rFonts w:ascii="Ebrima" w:eastAsia="Calibri" w:hAnsi="Ebrima" w:cs="Times New Roman"/>
          <w:sz w:val="24"/>
          <w:szCs w:val="24"/>
          <w:lang w:val="hr-BA" w:eastAsia="bs-Latn-BA"/>
        </w:rPr>
        <w:t>strateške ciljeve ekonomske i fiskalne politike Federacije BiH;</w:t>
      </w:r>
    </w:p>
    <w:p w:rsidR="00525560" w:rsidRPr="00314FA4" w:rsidRDefault="00525560" w:rsidP="00525560">
      <w:pPr>
        <w:numPr>
          <w:ilvl w:val="0"/>
          <w:numId w:val="3"/>
        </w:numPr>
        <w:autoSpaceDE w:val="0"/>
        <w:autoSpaceDN w:val="0"/>
        <w:adjustRightInd w:val="0"/>
        <w:spacing w:before="120" w:after="120" w:line="276" w:lineRule="auto"/>
        <w:contextualSpacing/>
        <w:jc w:val="both"/>
        <w:rPr>
          <w:rFonts w:ascii="Ebrima" w:eastAsia="Calibri" w:hAnsi="Ebrima" w:cs="Times New Roman"/>
          <w:sz w:val="24"/>
          <w:szCs w:val="24"/>
          <w:lang w:val="hr-BA" w:eastAsia="bs-Latn-BA"/>
        </w:rPr>
      </w:pPr>
      <w:r w:rsidRPr="00314FA4">
        <w:rPr>
          <w:rFonts w:ascii="Ebrima" w:eastAsia="Calibri" w:hAnsi="Ebrima" w:cs="Times New Roman"/>
          <w:sz w:val="24"/>
          <w:szCs w:val="24"/>
          <w:lang w:val="hr-BA" w:eastAsia="bs-Latn-BA"/>
        </w:rPr>
        <w:t>osnovne makroekonomske pokazatelje Federacije BiH;</w:t>
      </w:r>
    </w:p>
    <w:p w:rsidR="00525560" w:rsidRPr="00314FA4" w:rsidRDefault="00525560" w:rsidP="00525560">
      <w:pPr>
        <w:numPr>
          <w:ilvl w:val="0"/>
          <w:numId w:val="3"/>
        </w:numPr>
        <w:autoSpaceDE w:val="0"/>
        <w:autoSpaceDN w:val="0"/>
        <w:adjustRightInd w:val="0"/>
        <w:spacing w:before="120" w:after="120" w:line="276" w:lineRule="auto"/>
        <w:contextualSpacing/>
        <w:jc w:val="both"/>
        <w:rPr>
          <w:rFonts w:ascii="Ebrima" w:eastAsia="Calibri" w:hAnsi="Ebrima" w:cs="Times New Roman"/>
          <w:sz w:val="24"/>
          <w:szCs w:val="24"/>
          <w:lang w:val="hr-BA" w:eastAsia="bs-Latn-BA"/>
        </w:rPr>
      </w:pPr>
      <w:r w:rsidRPr="00314FA4">
        <w:rPr>
          <w:rFonts w:ascii="Ebrima" w:eastAsia="Calibri" w:hAnsi="Ebrima" w:cs="Times New Roman"/>
          <w:sz w:val="24"/>
          <w:szCs w:val="24"/>
          <w:lang w:val="hr-BA" w:eastAsia="bs-Latn-BA"/>
        </w:rPr>
        <w:t>osnovne pokazatelje ekonomske i fiskalne politike Federacije BiH;</w:t>
      </w:r>
    </w:p>
    <w:p w:rsidR="00525560" w:rsidRPr="00314FA4" w:rsidRDefault="00525560" w:rsidP="00525560">
      <w:pPr>
        <w:numPr>
          <w:ilvl w:val="0"/>
          <w:numId w:val="3"/>
        </w:numPr>
        <w:autoSpaceDE w:val="0"/>
        <w:autoSpaceDN w:val="0"/>
        <w:adjustRightInd w:val="0"/>
        <w:spacing w:before="120" w:after="120" w:line="276" w:lineRule="auto"/>
        <w:contextualSpacing/>
        <w:jc w:val="both"/>
        <w:rPr>
          <w:rFonts w:ascii="Ebrima" w:eastAsia="Calibri" w:hAnsi="Ebrima" w:cs="Times New Roman"/>
          <w:sz w:val="24"/>
          <w:szCs w:val="24"/>
          <w:lang w:val="hr-BA" w:eastAsia="bs-Latn-BA"/>
        </w:rPr>
      </w:pPr>
      <w:r w:rsidRPr="00314FA4">
        <w:rPr>
          <w:rFonts w:ascii="Ebrima" w:eastAsia="Calibri" w:hAnsi="Ebrima" w:cs="Times New Roman"/>
          <w:sz w:val="24"/>
          <w:szCs w:val="24"/>
          <w:lang w:val="hr-BA" w:eastAsia="bs-Latn-BA"/>
        </w:rPr>
        <w:t>pretpostavke društvenog i privrednog razvoja za budžetsku i za sljedeće dvije godine;</w:t>
      </w:r>
    </w:p>
    <w:p w:rsidR="00525560" w:rsidRPr="00314FA4" w:rsidRDefault="00525560" w:rsidP="00525560">
      <w:pPr>
        <w:numPr>
          <w:ilvl w:val="0"/>
          <w:numId w:val="3"/>
        </w:numPr>
        <w:autoSpaceDE w:val="0"/>
        <w:autoSpaceDN w:val="0"/>
        <w:adjustRightInd w:val="0"/>
        <w:spacing w:before="120" w:after="120" w:line="276" w:lineRule="auto"/>
        <w:contextualSpacing/>
        <w:jc w:val="both"/>
        <w:rPr>
          <w:rFonts w:ascii="Ebrima" w:eastAsia="Calibri" w:hAnsi="Ebrima" w:cs="Times New Roman"/>
          <w:sz w:val="24"/>
          <w:szCs w:val="24"/>
          <w:lang w:val="hr-BA" w:eastAsia="bs-Latn-BA"/>
        </w:rPr>
      </w:pPr>
      <w:r w:rsidRPr="00314FA4">
        <w:rPr>
          <w:rFonts w:ascii="Ebrima" w:eastAsia="Calibri" w:hAnsi="Ebrima" w:cs="Times New Roman"/>
          <w:sz w:val="24"/>
          <w:szCs w:val="24"/>
          <w:lang w:val="hr-BA" w:eastAsia="bs-Latn-BA"/>
        </w:rPr>
        <w:t>procjenu prihoda budžeta i</w:t>
      </w:r>
    </w:p>
    <w:p w:rsidR="00525560" w:rsidRPr="00314FA4" w:rsidRDefault="00525560" w:rsidP="00525560">
      <w:pPr>
        <w:numPr>
          <w:ilvl w:val="0"/>
          <w:numId w:val="3"/>
        </w:numPr>
        <w:autoSpaceDE w:val="0"/>
        <w:autoSpaceDN w:val="0"/>
        <w:adjustRightInd w:val="0"/>
        <w:spacing w:before="120" w:after="120" w:line="276" w:lineRule="auto"/>
        <w:contextualSpacing/>
        <w:jc w:val="both"/>
        <w:rPr>
          <w:rFonts w:ascii="Ebrima" w:eastAsia="Calibri" w:hAnsi="Ebrima" w:cs="Times New Roman"/>
          <w:sz w:val="24"/>
          <w:szCs w:val="24"/>
          <w:lang w:val="hr-BA" w:eastAsia="bs-Latn-BA"/>
        </w:rPr>
      </w:pPr>
      <w:r w:rsidRPr="00314FA4">
        <w:rPr>
          <w:rFonts w:ascii="Ebrima" w:eastAsia="Calibri" w:hAnsi="Ebrima" w:cs="Times New Roman"/>
          <w:sz w:val="24"/>
          <w:szCs w:val="24"/>
          <w:lang w:val="hr-BA" w:eastAsia="bs-Latn-BA"/>
        </w:rPr>
        <w:t>predviđene promjene javnog duga i strategiju upravljanja  javnim dugom.</w:t>
      </w:r>
    </w:p>
    <w:p w:rsidR="00525560" w:rsidRPr="00314FA4" w:rsidRDefault="00525560" w:rsidP="00525560">
      <w:pPr>
        <w:autoSpaceDE w:val="0"/>
        <w:autoSpaceDN w:val="0"/>
        <w:adjustRightInd w:val="0"/>
        <w:spacing w:before="120" w:after="120" w:line="276" w:lineRule="auto"/>
        <w:ind w:left="360"/>
        <w:contextualSpacing/>
        <w:jc w:val="both"/>
        <w:rPr>
          <w:rFonts w:ascii="Ebrima" w:eastAsia="Calibri" w:hAnsi="Ebrima" w:cs="Times New Roman"/>
          <w:sz w:val="24"/>
          <w:szCs w:val="24"/>
          <w:lang w:val="hr-BA" w:eastAsia="bs-Latn-BA"/>
        </w:rPr>
      </w:pPr>
    </w:p>
    <w:p w:rsidR="00B23C1E" w:rsidRPr="00314FA4" w:rsidRDefault="00B23C1E" w:rsidP="00B23C1E">
      <w:pPr>
        <w:autoSpaceDE w:val="0"/>
        <w:autoSpaceDN w:val="0"/>
        <w:adjustRightInd w:val="0"/>
        <w:spacing w:before="120" w:after="120" w:line="240" w:lineRule="auto"/>
        <w:jc w:val="both"/>
        <w:rPr>
          <w:rFonts w:ascii="Ebrima" w:hAnsi="Ebrima"/>
          <w:sz w:val="24"/>
          <w:szCs w:val="24"/>
        </w:rPr>
      </w:pPr>
      <w:r w:rsidRPr="00314FA4">
        <w:rPr>
          <w:rFonts w:ascii="Ebrima" w:eastAsia="Times New Roman" w:hAnsi="Ebrima" w:cs="Times New Roman"/>
          <w:sz w:val="24"/>
          <w:szCs w:val="24"/>
          <w:lang w:val="hr-BA" w:eastAsia="bs-Latn-BA"/>
        </w:rPr>
        <w:t xml:space="preserve">Ministarstvo finansija poštujući budžetski kalendar </w:t>
      </w:r>
      <w:r w:rsidRPr="00314FA4">
        <w:rPr>
          <w:rFonts w:ascii="Ebrima" w:hAnsi="Ebrima"/>
          <w:sz w:val="24"/>
          <w:szCs w:val="24"/>
        </w:rPr>
        <w:t>prijedlog Smjernica dužno je dostaviti Vladi Kantona do 15. maja tekuće godine, a Vlada donosi iste do 31. maja tekuće godine.</w:t>
      </w:r>
    </w:p>
    <w:p w:rsidR="00B23C1E" w:rsidRPr="00314FA4" w:rsidRDefault="00B23C1E" w:rsidP="00B23C1E">
      <w:pPr>
        <w:autoSpaceDE w:val="0"/>
        <w:autoSpaceDN w:val="0"/>
        <w:adjustRightInd w:val="0"/>
        <w:spacing w:before="120" w:after="120" w:line="240" w:lineRule="auto"/>
        <w:jc w:val="both"/>
        <w:rPr>
          <w:rFonts w:ascii="Ebrima" w:eastAsia="Times New Roman" w:hAnsi="Ebrima" w:cs="Times New Roman"/>
          <w:sz w:val="24"/>
          <w:szCs w:val="24"/>
          <w:lang w:val="hr-BA" w:eastAsia="bs-Latn-BA"/>
        </w:rPr>
      </w:pPr>
      <w:r w:rsidRPr="00314FA4">
        <w:rPr>
          <w:rFonts w:ascii="Ebrima" w:hAnsi="Ebrima"/>
          <w:sz w:val="24"/>
          <w:szCs w:val="24"/>
        </w:rPr>
        <w:t xml:space="preserve">U skladu sa naprijed navedenim Ministarstvo za finansije </w:t>
      </w:r>
      <w:r w:rsidRPr="00314FA4">
        <w:rPr>
          <w:rFonts w:ascii="Ebrima" w:eastAsia="Times New Roman" w:hAnsi="Ebrima" w:cs="Times New Roman"/>
          <w:sz w:val="24"/>
          <w:szCs w:val="24"/>
          <w:lang w:val="hr-BA" w:eastAsia="bs-Latn-BA"/>
        </w:rPr>
        <w:t>priprema i dostavlja Vladi Bosansko-podrinjskog kantona Goražde Smjernice ekonomske i fiskalne politike za period 2024. – 2026. godina na razmatranje i usvajanje, a iste predstavljaju i polaznu osnovu za izradu Dokumenta okvirnog budžeta Bosansko-podrinjskog kantona Goražde za period 2024.-2026. godina.</w:t>
      </w:r>
    </w:p>
    <w:p w:rsidR="00B23C1E" w:rsidRPr="00314FA4" w:rsidRDefault="00B23C1E" w:rsidP="00B23C1E">
      <w:pPr>
        <w:autoSpaceDE w:val="0"/>
        <w:autoSpaceDN w:val="0"/>
        <w:adjustRightInd w:val="0"/>
        <w:spacing w:before="120" w:after="120" w:line="240" w:lineRule="auto"/>
        <w:jc w:val="both"/>
        <w:rPr>
          <w:rFonts w:ascii="Ebrima" w:eastAsia="Times New Roman" w:hAnsi="Ebrima" w:cs="Times New Roman"/>
          <w:sz w:val="24"/>
          <w:szCs w:val="24"/>
          <w:lang w:val="hr-HR"/>
        </w:rPr>
      </w:pPr>
      <w:r w:rsidRPr="00314FA4">
        <w:rPr>
          <w:rFonts w:ascii="Ebrima" w:eastAsia="Times New Roman" w:hAnsi="Ebrima" w:cs="Times New Roman"/>
          <w:sz w:val="24"/>
          <w:szCs w:val="24"/>
          <w:lang w:val="hr-BA" w:eastAsia="bs-Latn-BA"/>
        </w:rPr>
        <w:t xml:space="preserve">Uloga ovog dokumenta je prvenstveno definisati smjer i ciljeve ekonomske politike sa naglaskom na nastavak provođenja fiskalne konsolidacije, koja neće narušiti osnove ekonomskog oporavka, a u cilju </w:t>
      </w:r>
      <w:r w:rsidRPr="00314FA4">
        <w:rPr>
          <w:rFonts w:ascii="Ebrima" w:eastAsia="Times New Roman" w:hAnsi="Ebrima" w:cs="Times New Roman"/>
          <w:sz w:val="24"/>
          <w:szCs w:val="24"/>
          <w:lang w:val="hr-HR"/>
        </w:rPr>
        <w:t>uspješnog procesa srednjoročnog planiranja.</w:t>
      </w:r>
    </w:p>
    <w:p w:rsidR="00944E4E" w:rsidRPr="00314FA4" w:rsidRDefault="00B23C1E" w:rsidP="00525560">
      <w:pPr>
        <w:jc w:val="both"/>
        <w:rPr>
          <w:rFonts w:ascii="Ebrima" w:hAnsi="Ebrima" w:cs="Calibri"/>
          <w:sz w:val="24"/>
          <w:szCs w:val="24"/>
          <w:lang w:val="hr-HR"/>
        </w:rPr>
      </w:pPr>
      <w:r w:rsidRPr="00314FA4">
        <w:rPr>
          <w:rFonts w:ascii="Ebrima" w:hAnsi="Ebrima" w:cs="Calibri"/>
          <w:sz w:val="24"/>
          <w:szCs w:val="24"/>
          <w:lang w:val="hr-HR"/>
        </w:rPr>
        <w:t>Ono što je bitno istaći je da su s</w:t>
      </w:r>
      <w:r w:rsidR="0075726C" w:rsidRPr="00314FA4">
        <w:rPr>
          <w:rFonts w:ascii="Ebrima" w:hAnsi="Ebrima" w:cs="Calibri"/>
          <w:sz w:val="24"/>
          <w:szCs w:val="24"/>
          <w:lang w:val="hr-HR"/>
        </w:rPr>
        <w:t xml:space="preserve">ituacije </w:t>
      </w:r>
      <w:r w:rsidRPr="00314FA4">
        <w:rPr>
          <w:rFonts w:ascii="Ebrima" w:hAnsi="Ebrima" w:cs="Calibri"/>
          <w:sz w:val="24"/>
          <w:szCs w:val="24"/>
          <w:lang w:val="hr-HR"/>
        </w:rPr>
        <w:t xml:space="preserve">kao što je situacija </w:t>
      </w:r>
      <w:r w:rsidR="00525560" w:rsidRPr="00314FA4">
        <w:rPr>
          <w:rFonts w:ascii="Ebrima" w:hAnsi="Ebrima" w:cs="Calibri"/>
          <w:sz w:val="24"/>
          <w:szCs w:val="24"/>
          <w:lang w:val="hr-HR"/>
        </w:rPr>
        <w:t>pro</w:t>
      </w:r>
      <w:r w:rsidRPr="00314FA4">
        <w:rPr>
          <w:rFonts w:ascii="Ebrima" w:hAnsi="Ebrima" w:cs="Calibri"/>
          <w:sz w:val="24"/>
          <w:szCs w:val="24"/>
          <w:lang w:val="hr-HR"/>
        </w:rPr>
        <w:t>uzrokovana</w:t>
      </w:r>
      <w:r w:rsidR="005479D7" w:rsidRPr="00314FA4">
        <w:rPr>
          <w:rFonts w:ascii="Ebrima" w:hAnsi="Ebrima" w:cs="Calibri"/>
          <w:sz w:val="24"/>
          <w:szCs w:val="24"/>
          <w:lang w:val="hr-HR"/>
        </w:rPr>
        <w:t xml:space="preserve"> pandemijom </w:t>
      </w:r>
      <w:r w:rsidR="0020399A" w:rsidRPr="00314FA4">
        <w:rPr>
          <w:rFonts w:ascii="Ebrima" w:hAnsi="Ebrima" w:cs="Calibri"/>
          <w:sz w:val="24"/>
          <w:szCs w:val="24"/>
          <w:lang w:val="hr-HR"/>
        </w:rPr>
        <w:t xml:space="preserve">korona </w:t>
      </w:r>
      <w:r w:rsidR="005479D7" w:rsidRPr="00314FA4">
        <w:rPr>
          <w:rFonts w:ascii="Ebrima" w:hAnsi="Ebrima" w:cs="Calibri"/>
          <w:sz w:val="24"/>
          <w:szCs w:val="24"/>
          <w:lang w:val="hr-HR"/>
        </w:rPr>
        <w:t xml:space="preserve">virusa </w:t>
      </w:r>
      <w:r w:rsidR="0075726C" w:rsidRPr="00314FA4">
        <w:rPr>
          <w:rFonts w:ascii="Ebrima" w:hAnsi="Ebrima" w:cs="Calibri"/>
          <w:sz w:val="24"/>
          <w:szCs w:val="24"/>
          <w:lang w:val="hr-HR"/>
        </w:rPr>
        <w:t>u Bosni i Hercegovini</w:t>
      </w:r>
      <w:r w:rsidR="00525560" w:rsidRPr="00314FA4">
        <w:rPr>
          <w:rFonts w:ascii="Ebrima" w:hAnsi="Ebrima" w:cs="Calibri"/>
          <w:sz w:val="24"/>
          <w:szCs w:val="24"/>
          <w:lang w:val="hr-HR"/>
        </w:rPr>
        <w:t xml:space="preserve"> </w:t>
      </w:r>
      <w:r w:rsidR="0020399A" w:rsidRPr="00314FA4">
        <w:rPr>
          <w:rFonts w:ascii="Ebrima" w:hAnsi="Ebrima" w:cs="Calibri"/>
          <w:sz w:val="24"/>
          <w:szCs w:val="24"/>
          <w:lang w:val="hr-HR"/>
        </w:rPr>
        <w:t>u ranijim godinama</w:t>
      </w:r>
      <w:r w:rsidR="00FA6666" w:rsidRPr="00314FA4">
        <w:rPr>
          <w:rFonts w:ascii="Ebrima" w:hAnsi="Ebrima" w:cs="Calibri"/>
          <w:sz w:val="24"/>
          <w:szCs w:val="24"/>
          <w:lang w:val="hr-HR"/>
        </w:rPr>
        <w:t>,</w:t>
      </w:r>
      <w:r w:rsidR="0020399A" w:rsidRPr="00314FA4">
        <w:rPr>
          <w:rFonts w:ascii="Ebrima" w:hAnsi="Ebrima" w:cs="Calibri"/>
          <w:sz w:val="24"/>
          <w:szCs w:val="24"/>
          <w:lang w:val="hr-HR"/>
        </w:rPr>
        <w:t xml:space="preserve"> te izloženost</w:t>
      </w:r>
      <w:r w:rsidR="00944E4E" w:rsidRPr="00314FA4">
        <w:rPr>
          <w:rFonts w:ascii="Ebrima" w:hAnsi="Ebrima" w:cs="Calibri"/>
          <w:sz w:val="24"/>
          <w:szCs w:val="24"/>
          <w:lang w:val="hr-HR"/>
        </w:rPr>
        <w:t xml:space="preserve"> novonastalom</w:t>
      </w:r>
      <w:r w:rsidR="0075726C" w:rsidRPr="00314FA4">
        <w:rPr>
          <w:rFonts w:ascii="Ebrima" w:hAnsi="Ebrima" w:cs="Calibri"/>
          <w:sz w:val="24"/>
          <w:szCs w:val="24"/>
          <w:lang w:val="hr-HR"/>
        </w:rPr>
        <w:t xml:space="preserve"> </w:t>
      </w:r>
      <w:r w:rsidR="00944E4E" w:rsidRPr="00314FA4">
        <w:rPr>
          <w:rFonts w:ascii="Ebrima" w:hAnsi="Ebrima" w:cs="Calibri"/>
          <w:sz w:val="24"/>
          <w:szCs w:val="24"/>
          <w:lang w:val="hr-HR"/>
        </w:rPr>
        <w:t>situacijom</w:t>
      </w:r>
      <w:r w:rsidR="0075726C" w:rsidRPr="00314FA4">
        <w:rPr>
          <w:rFonts w:ascii="Ebrima" w:hAnsi="Ebrima" w:cs="Calibri"/>
          <w:sz w:val="24"/>
          <w:szCs w:val="24"/>
          <w:lang w:val="hr-HR"/>
        </w:rPr>
        <w:t xml:space="preserve"> </w:t>
      </w:r>
      <w:r w:rsidR="00944E4E" w:rsidRPr="00314FA4">
        <w:rPr>
          <w:rFonts w:ascii="Ebrima" w:hAnsi="Ebrima" w:cs="Calibri"/>
          <w:sz w:val="24"/>
          <w:szCs w:val="24"/>
          <w:lang w:val="hr-HR"/>
        </w:rPr>
        <w:t>prouzrokovanom</w:t>
      </w:r>
      <w:r w:rsidR="0075726C" w:rsidRPr="00314FA4">
        <w:rPr>
          <w:rFonts w:ascii="Ebrima" w:hAnsi="Ebrima" w:cs="Calibri"/>
          <w:sz w:val="24"/>
          <w:szCs w:val="24"/>
          <w:lang w:val="hr-HR"/>
        </w:rPr>
        <w:t xml:space="preserve"> dešavanjima na globalnom nivou</w:t>
      </w:r>
      <w:r w:rsidR="00FA6666" w:rsidRPr="00314FA4">
        <w:rPr>
          <w:rFonts w:ascii="Ebrima" w:hAnsi="Ebrima" w:cs="Calibri"/>
          <w:sz w:val="24"/>
          <w:szCs w:val="24"/>
          <w:lang w:val="hr-HR"/>
        </w:rPr>
        <w:t xml:space="preserve"> tokom 2022. godine</w:t>
      </w:r>
      <w:r w:rsidR="00944E4E" w:rsidRPr="00314FA4">
        <w:rPr>
          <w:rFonts w:ascii="Ebrima" w:hAnsi="Ebrima" w:cs="Calibri"/>
          <w:sz w:val="24"/>
          <w:szCs w:val="24"/>
          <w:lang w:val="hr-HR"/>
        </w:rPr>
        <w:t>,</w:t>
      </w:r>
      <w:r w:rsidR="0075726C" w:rsidRPr="00314FA4">
        <w:rPr>
          <w:rFonts w:ascii="Ebrima" w:hAnsi="Ebrima" w:cs="Calibri"/>
          <w:sz w:val="24"/>
          <w:szCs w:val="24"/>
          <w:lang w:val="hr-HR"/>
        </w:rPr>
        <w:t xml:space="preserve"> a koje su rezultat ratnih dešavanja</w:t>
      </w:r>
      <w:r w:rsidR="00FA6666" w:rsidRPr="00314FA4">
        <w:rPr>
          <w:rFonts w:ascii="Ebrima" w:hAnsi="Ebrima" w:cs="Calibri"/>
          <w:sz w:val="24"/>
          <w:szCs w:val="24"/>
          <w:lang w:val="hr-HR"/>
        </w:rPr>
        <w:t xml:space="preserve"> </w:t>
      </w:r>
      <w:r w:rsidR="0020399A" w:rsidRPr="00314FA4">
        <w:rPr>
          <w:rFonts w:ascii="Ebrima" w:hAnsi="Ebrima" w:cs="Calibri"/>
          <w:sz w:val="24"/>
          <w:szCs w:val="24"/>
          <w:lang w:val="hr-HR"/>
        </w:rPr>
        <w:t>uticalo i na ekonomska kretanja tokom 2023. godine</w:t>
      </w:r>
      <w:r w:rsidRPr="00314FA4">
        <w:rPr>
          <w:rFonts w:ascii="Ebrima" w:hAnsi="Ebrima" w:cs="Calibri"/>
          <w:sz w:val="24"/>
          <w:szCs w:val="24"/>
          <w:lang w:val="hr-HR"/>
        </w:rPr>
        <w:t xml:space="preserve"> </w:t>
      </w:r>
      <w:r w:rsidR="00FA6666" w:rsidRPr="00314FA4">
        <w:rPr>
          <w:rFonts w:ascii="Ebrima" w:hAnsi="Ebrima" w:cs="Calibri"/>
          <w:sz w:val="24"/>
          <w:szCs w:val="24"/>
          <w:lang w:val="hr-HR"/>
        </w:rPr>
        <w:t>,a što će u konačnici uticati i na projekcije za naredni period.</w:t>
      </w:r>
    </w:p>
    <w:p w:rsidR="00525560" w:rsidRPr="00314FA4" w:rsidRDefault="00990E9A" w:rsidP="00525560">
      <w:pPr>
        <w:jc w:val="both"/>
        <w:rPr>
          <w:rFonts w:ascii="Ebrima" w:hAnsi="Ebrima"/>
          <w:sz w:val="24"/>
          <w:szCs w:val="24"/>
          <w:shd w:val="clear" w:color="auto" w:fill="FFFFFF"/>
        </w:rPr>
      </w:pPr>
      <w:r w:rsidRPr="00314FA4">
        <w:rPr>
          <w:rFonts w:ascii="Ebrima" w:hAnsi="Ebrima"/>
          <w:sz w:val="24"/>
          <w:szCs w:val="24"/>
          <w:shd w:val="clear" w:color="auto" w:fill="FFFFFF"/>
        </w:rPr>
        <w:t>Sve krize u prethodnom period</w:t>
      </w:r>
      <w:r w:rsidR="00B23C1E" w:rsidRPr="00314FA4">
        <w:rPr>
          <w:rFonts w:ascii="Ebrima" w:hAnsi="Ebrima"/>
          <w:sz w:val="24"/>
          <w:szCs w:val="24"/>
          <w:shd w:val="clear" w:color="auto" w:fill="FFFFFF"/>
        </w:rPr>
        <w:t>u</w:t>
      </w:r>
      <w:r w:rsidRPr="00314FA4">
        <w:rPr>
          <w:rFonts w:ascii="Ebrima" w:hAnsi="Ebrima"/>
          <w:sz w:val="24"/>
          <w:szCs w:val="24"/>
          <w:shd w:val="clear" w:color="auto" w:fill="FFFFFF"/>
        </w:rPr>
        <w:t xml:space="preserve"> pokazuju</w:t>
      </w:r>
      <w:r w:rsidR="00944E4E" w:rsidRPr="00314FA4">
        <w:rPr>
          <w:rFonts w:ascii="Ebrima" w:hAnsi="Ebrima"/>
          <w:sz w:val="24"/>
          <w:szCs w:val="24"/>
          <w:shd w:val="clear" w:color="auto" w:fill="FFFFFF"/>
        </w:rPr>
        <w:t xml:space="preserve"> </w:t>
      </w:r>
      <w:r w:rsidRPr="00314FA4">
        <w:rPr>
          <w:rFonts w:ascii="Ebrima" w:hAnsi="Ebrima"/>
          <w:sz w:val="24"/>
          <w:szCs w:val="24"/>
          <w:shd w:val="clear" w:color="auto" w:fill="FFFFFF"/>
        </w:rPr>
        <w:t>opasnost oslanjanja</w:t>
      </w:r>
      <w:r w:rsidR="00944E4E" w:rsidRPr="00314FA4">
        <w:rPr>
          <w:rFonts w:ascii="Ebrima" w:hAnsi="Ebrima"/>
          <w:sz w:val="24"/>
          <w:szCs w:val="24"/>
          <w:shd w:val="clear" w:color="auto" w:fill="FFFFFF"/>
        </w:rPr>
        <w:t xml:space="preserve"> na uvoz i općenito </w:t>
      </w:r>
      <w:r w:rsidRPr="00314FA4">
        <w:rPr>
          <w:rFonts w:ascii="Ebrima" w:hAnsi="Ebrima"/>
          <w:sz w:val="24"/>
          <w:szCs w:val="24"/>
          <w:shd w:val="clear" w:color="auto" w:fill="FFFFFF"/>
        </w:rPr>
        <w:t xml:space="preserve">opasnost </w:t>
      </w:r>
      <w:r w:rsidR="00944E4E" w:rsidRPr="00314FA4">
        <w:rPr>
          <w:rFonts w:ascii="Ebrima" w:hAnsi="Ebrima"/>
          <w:sz w:val="24"/>
          <w:szCs w:val="24"/>
          <w:shd w:val="clear" w:color="auto" w:fill="FFFFFF"/>
        </w:rPr>
        <w:t>ovi</w:t>
      </w:r>
      <w:r w:rsidR="000576D0" w:rsidRPr="00314FA4">
        <w:rPr>
          <w:rFonts w:ascii="Ebrima" w:hAnsi="Ebrima"/>
          <w:sz w:val="24"/>
          <w:szCs w:val="24"/>
          <w:shd w:val="clear" w:color="auto" w:fill="FFFFFF"/>
        </w:rPr>
        <w:t>snosti</w:t>
      </w:r>
      <w:r w:rsidR="00B23C1E" w:rsidRPr="00314FA4">
        <w:rPr>
          <w:rFonts w:ascii="Ebrima" w:hAnsi="Ebrima"/>
          <w:sz w:val="24"/>
          <w:szCs w:val="24"/>
          <w:shd w:val="clear" w:color="auto" w:fill="FFFFFF"/>
        </w:rPr>
        <w:t xml:space="preserve"> o privredama i ekonomiji zemalja u oklruženju i svijetu,</w:t>
      </w:r>
      <w:r w:rsidR="00944E4E" w:rsidRPr="00314FA4">
        <w:rPr>
          <w:rFonts w:ascii="Ebrima" w:hAnsi="Ebrima"/>
          <w:sz w:val="24"/>
          <w:szCs w:val="24"/>
          <w:shd w:val="clear" w:color="auto" w:fill="FFFFFF"/>
        </w:rPr>
        <w:t xml:space="preserve"> </w:t>
      </w:r>
      <w:r w:rsidRPr="00314FA4">
        <w:rPr>
          <w:rFonts w:ascii="Ebrima" w:hAnsi="Ebrima"/>
          <w:sz w:val="24"/>
          <w:szCs w:val="24"/>
          <w:shd w:val="clear" w:color="auto" w:fill="FFFFFF"/>
        </w:rPr>
        <w:t xml:space="preserve">te </w:t>
      </w:r>
      <w:r w:rsidR="00B23C1E" w:rsidRPr="00314FA4">
        <w:rPr>
          <w:rFonts w:ascii="Ebrima" w:hAnsi="Ebrima"/>
          <w:sz w:val="24"/>
          <w:szCs w:val="24"/>
          <w:shd w:val="clear" w:color="auto" w:fill="FFFFFF"/>
        </w:rPr>
        <w:t xml:space="preserve">može biti pokazatelj </w:t>
      </w:r>
      <w:r w:rsidRPr="00314FA4">
        <w:rPr>
          <w:rFonts w:ascii="Ebrima" w:hAnsi="Ebrima"/>
          <w:sz w:val="24"/>
          <w:szCs w:val="24"/>
          <w:shd w:val="clear" w:color="auto" w:fill="FFFFFF"/>
        </w:rPr>
        <w:t>k</w:t>
      </w:r>
      <w:r w:rsidR="00944E4E" w:rsidRPr="00314FA4">
        <w:rPr>
          <w:rFonts w:ascii="Ebrima" w:hAnsi="Ebrima"/>
          <w:sz w:val="24"/>
          <w:szCs w:val="24"/>
          <w:shd w:val="clear" w:color="auto" w:fill="FFFFFF"/>
        </w:rPr>
        <w:t xml:space="preserve">oliko je neophodna samoodrživost ekonomije u što većoj mjeri i što veća ulaganja u vlastitu proizvodnju </w:t>
      </w:r>
      <w:r w:rsidR="000576D0" w:rsidRPr="00314FA4">
        <w:rPr>
          <w:rFonts w:ascii="Ebrima" w:hAnsi="Ebrima"/>
          <w:sz w:val="24"/>
          <w:szCs w:val="24"/>
          <w:shd w:val="clear" w:color="auto" w:fill="FFFFFF"/>
        </w:rPr>
        <w:t>iz resursa koje zemlja ima odnosno</w:t>
      </w:r>
      <w:r w:rsidR="00944E4E" w:rsidRPr="00314FA4">
        <w:rPr>
          <w:rFonts w:ascii="Ebrima" w:hAnsi="Ebrima"/>
          <w:sz w:val="24"/>
          <w:szCs w:val="24"/>
          <w:shd w:val="clear" w:color="auto" w:fill="FFFFFF"/>
        </w:rPr>
        <w:t xml:space="preserve"> vlastitih sirovina</w:t>
      </w:r>
      <w:r w:rsidR="000576D0" w:rsidRPr="00314FA4">
        <w:rPr>
          <w:rFonts w:ascii="Ebrima" w:hAnsi="Ebrima"/>
          <w:sz w:val="24"/>
          <w:szCs w:val="24"/>
          <w:shd w:val="clear" w:color="auto" w:fill="FFFFFF"/>
        </w:rPr>
        <w:t xml:space="preserve">. </w:t>
      </w:r>
      <w:r w:rsidR="00944E4E" w:rsidRPr="00314FA4">
        <w:rPr>
          <w:rFonts w:ascii="Ebrima" w:hAnsi="Ebrima"/>
          <w:sz w:val="24"/>
          <w:szCs w:val="24"/>
          <w:shd w:val="clear" w:color="auto" w:fill="FFFFFF"/>
        </w:rPr>
        <w:lastRenderedPageBreak/>
        <w:t>Projekcije prihoda rađene do momenta pripreme ovih Smjernica pokazuju značajan rast prihoda posebice od Prihoda od indirektnih poreza što je opet rezultat ogromnog skoka ci</w:t>
      </w:r>
      <w:r w:rsidR="000576D0" w:rsidRPr="00314FA4">
        <w:rPr>
          <w:rFonts w:ascii="Ebrima" w:hAnsi="Ebrima"/>
          <w:sz w:val="24"/>
          <w:szCs w:val="24"/>
          <w:shd w:val="clear" w:color="auto" w:fill="FFFFFF"/>
        </w:rPr>
        <w:t>jena posebice hrane, energenata. C</w:t>
      </w:r>
      <w:r w:rsidR="00944E4E" w:rsidRPr="00314FA4">
        <w:rPr>
          <w:rFonts w:ascii="Ebrima" w:hAnsi="Ebrima"/>
          <w:sz w:val="24"/>
          <w:szCs w:val="24"/>
          <w:shd w:val="clear" w:color="auto" w:fill="FFFFFF"/>
        </w:rPr>
        <w:t xml:space="preserve">ijeneći da će isti rasti </w:t>
      </w:r>
      <w:r w:rsidR="000576D0" w:rsidRPr="00314FA4">
        <w:rPr>
          <w:rFonts w:ascii="Ebrima" w:hAnsi="Ebrima"/>
          <w:sz w:val="24"/>
          <w:szCs w:val="24"/>
          <w:shd w:val="clear" w:color="auto" w:fill="FFFFFF"/>
        </w:rPr>
        <w:t xml:space="preserve">potrebno je imati i dozu </w:t>
      </w:r>
      <w:r w:rsidR="00944E4E" w:rsidRPr="00314FA4">
        <w:rPr>
          <w:rFonts w:ascii="Ebrima" w:hAnsi="Ebrima"/>
          <w:sz w:val="24"/>
          <w:szCs w:val="24"/>
          <w:shd w:val="clear" w:color="auto" w:fill="FFFFFF"/>
        </w:rPr>
        <w:t xml:space="preserve">opreza </w:t>
      </w:r>
      <w:r w:rsidR="000576D0" w:rsidRPr="00314FA4">
        <w:rPr>
          <w:rFonts w:ascii="Ebrima" w:hAnsi="Ebrima"/>
          <w:sz w:val="24"/>
          <w:szCs w:val="24"/>
          <w:shd w:val="clear" w:color="auto" w:fill="FFFFFF"/>
        </w:rPr>
        <w:t>zbog kupovne</w:t>
      </w:r>
      <w:r w:rsidR="00944E4E" w:rsidRPr="00314FA4">
        <w:rPr>
          <w:rFonts w:ascii="Ebrima" w:hAnsi="Ebrima"/>
          <w:sz w:val="24"/>
          <w:szCs w:val="24"/>
          <w:shd w:val="clear" w:color="auto" w:fill="FFFFFF"/>
        </w:rPr>
        <w:t xml:space="preserve"> moć</w:t>
      </w:r>
      <w:r w:rsidR="000576D0" w:rsidRPr="00314FA4">
        <w:rPr>
          <w:rFonts w:ascii="Ebrima" w:hAnsi="Ebrima"/>
          <w:sz w:val="24"/>
          <w:szCs w:val="24"/>
          <w:shd w:val="clear" w:color="auto" w:fill="FFFFFF"/>
        </w:rPr>
        <w:t>i</w:t>
      </w:r>
      <w:r w:rsidR="00944E4E" w:rsidRPr="00314FA4">
        <w:rPr>
          <w:rFonts w:ascii="Ebrima" w:hAnsi="Ebrima"/>
          <w:sz w:val="24"/>
          <w:szCs w:val="24"/>
          <w:shd w:val="clear" w:color="auto" w:fill="FFFFFF"/>
        </w:rPr>
        <w:t xml:space="preserve"> stanovništva,</w:t>
      </w:r>
      <w:r w:rsidR="00EF573B" w:rsidRPr="00314FA4">
        <w:rPr>
          <w:rFonts w:ascii="Ebrima" w:hAnsi="Ebrima"/>
          <w:sz w:val="24"/>
          <w:szCs w:val="24"/>
          <w:shd w:val="clear" w:color="auto" w:fill="FFFFFF"/>
        </w:rPr>
        <w:t xml:space="preserve"> </w:t>
      </w:r>
      <w:r w:rsidR="00944E4E" w:rsidRPr="00314FA4">
        <w:rPr>
          <w:rFonts w:ascii="Ebrima" w:hAnsi="Ebrima"/>
          <w:sz w:val="24"/>
          <w:szCs w:val="24"/>
          <w:shd w:val="clear" w:color="auto" w:fill="FFFFFF"/>
        </w:rPr>
        <w:t xml:space="preserve">a </w:t>
      </w:r>
      <w:r w:rsidR="000576D0" w:rsidRPr="00314FA4">
        <w:rPr>
          <w:rFonts w:ascii="Ebrima" w:hAnsi="Ebrima"/>
          <w:sz w:val="24"/>
          <w:szCs w:val="24"/>
          <w:shd w:val="clear" w:color="auto" w:fill="FFFFFF"/>
        </w:rPr>
        <w:t>na što ukazuju procjene potrošačke korpe</w:t>
      </w:r>
      <w:r w:rsidR="00B23C1E" w:rsidRPr="00314FA4">
        <w:rPr>
          <w:rFonts w:ascii="Ebrima" w:hAnsi="Ebrima"/>
          <w:sz w:val="24"/>
          <w:szCs w:val="24"/>
          <w:shd w:val="clear" w:color="auto" w:fill="FFFFFF"/>
        </w:rPr>
        <w:t>. Takođe,</w:t>
      </w:r>
      <w:r w:rsidR="000576D0" w:rsidRPr="00314FA4">
        <w:rPr>
          <w:rFonts w:ascii="Ebrima" w:hAnsi="Ebrima"/>
          <w:sz w:val="24"/>
          <w:szCs w:val="24"/>
          <w:shd w:val="clear" w:color="auto" w:fill="FFFFFF"/>
        </w:rPr>
        <w:t xml:space="preserve"> prijedlozi eventualnog</w:t>
      </w:r>
      <w:r w:rsidR="00EF573B" w:rsidRPr="00314FA4">
        <w:rPr>
          <w:rFonts w:ascii="Ebrima" w:hAnsi="Ebrima"/>
          <w:sz w:val="24"/>
          <w:szCs w:val="24"/>
          <w:shd w:val="clear" w:color="auto" w:fill="FFFFFF"/>
        </w:rPr>
        <w:t xml:space="preserve"> smanjenja </w:t>
      </w:r>
      <w:r w:rsidR="000576D0" w:rsidRPr="00314FA4">
        <w:rPr>
          <w:rFonts w:ascii="Ebrima" w:hAnsi="Ebrima"/>
          <w:sz w:val="24"/>
          <w:szCs w:val="24"/>
          <w:shd w:val="clear" w:color="auto" w:fill="FFFFFF"/>
        </w:rPr>
        <w:t xml:space="preserve">odnosno </w:t>
      </w:r>
      <w:r w:rsidR="00EF573B" w:rsidRPr="00314FA4">
        <w:rPr>
          <w:rFonts w:ascii="Ebrima" w:hAnsi="Ebrima"/>
          <w:sz w:val="24"/>
          <w:szCs w:val="24"/>
          <w:shd w:val="clear" w:color="auto" w:fill="FFFFFF"/>
        </w:rPr>
        <w:t xml:space="preserve">izmjena oporezivanja bi značajno uticale na stanje ostvarenja </w:t>
      </w:r>
      <w:r w:rsidR="000576D0" w:rsidRPr="00314FA4">
        <w:rPr>
          <w:rFonts w:ascii="Ebrima" w:hAnsi="Ebrima"/>
          <w:sz w:val="24"/>
          <w:szCs w:val="24"/>
          <w:shd w:val="clear" w:color="auto" w:fill="FFFFFF"/>
        </w:rPr>
        <w:t>prihoda</w:t>
      </w:r>
      <w:r w:rsidR="00EF573B" w:rsidRPr="00314FA4">
        <w:rPr>
          <w:rFonts w:ascii="Ebrima" w:hAnsi="Ebrima"/>
          <w:sz w:val="24"/>
          <w:szCs w:val="24"/>
          <w:shd w:val="clear" w:color="auto" w:fill="FFFFFF"/>
        </w:rPr>
        <w:t xml:space="preserve"> </w:t>
      </w:r>
      <w:r w:rsidR="000576D0" w:rsidRPr="00314FA4">
        <w:rPr>
          <w:rFonts w:ascii="Ebrima" w:hAnsi="Ebrima"/>
          <w:sz w:val="24"/>
          <w:szCs w:val="24"/>
          <w:shd w:val="clear" w:color="auto" w:fill="FFFFFF"/>
        </w:rPr>
        <w:t>u tom slučaju porast</w:t>
      </w:r>
      <w:r w:rsidR="00944E4E" w:rsidRPr="00314FA4">
        <w:rPr>
          <w:rFonts w:ascii="Ebrima" w:hAnsi="Ebrima"/>
          <w:sz w:val="24"/>
          <w:szCs w:val="24"/>
          <w:shd w:val="clear" w:color="auto" w:fill="FFFFFF"/>
        </w:rPr>
        <w:t xml:space="preserve"> cijena </w:t>
      </w:r>
      <w:r w:rsidR="000576D0" w:rsidRPr="00314FA4">
        <w:rPr>
          <w:rFonts w:ascii="Ebrima" w:hAnsi="Ebrima"/>
          <w:sz w:val="24"/>
          <w:szCs w:val="24"/>
          <w:shd w:val="clear" w:color="auto" w:fill="FFFFFF"/>
        </w:rPr>
        <w:t xml:space="preserve">ne bi nužno značilo </w:t>
      </w:r>
      <w:r w:rsidR="00944E4E" w:rsidRPr="00314FA4">
        <w:rPr>
          <w:rFonts w:ascii="Ebrima" w:hAnsi="Ebrima"/>
          <w:sz w:val="24"/>
          <w:szCs w:val="24"/>
          <w:shd w:val="clear" w:color="auto" w:fill="FFFFFF"/>
        </w:rPr>
        <w:t xml:space="preserve">da će se ostvariti </w:t>
      </w:r>
      <w:r w:rsidR="00EF573B" w:rsidRPr="00314FA4">
        <w:rPr>
          <w:rFonts w:ascii="Ebrima" w:hAnsi="Ebrima"/>
          <w:sz w:val="24"/>
          <w:szCs w:val="24"/>
          <w:shd w:val="clear" w:color="auto" w:fill="FFFFFF"/>
        </w:rPr>
        <w:t>veliki skokovi porasta prihoda.</w:t>
      </w:r>
      <w:r w:rsidR="007571F5" w:rsidRPr="00314FA4">
        <w:rPr>
          <w:rFonts w:ascii="Ebrima" w:hAnsi="Ebrima"/>
          <w:sz w:val="24"/>
          <w:szCs w:val="24"/>
          <w:shd w:val="clear" w:color="auto" w:fill="FFFFFF"/>
        </w:rPr>
        <w:t xml:space="preserve"> Ministarstvo za finansije poštujući projekcije većih nivoa vlasti kao i zakonske obaveze pripremilo je Smjernice </w:t>
      </w:r>
      <w:r w:rsidR="000576D0" w:rsidRPr="00314FA4">
        <w:rPr>
          <w:rFonts w:ascii="Ebrima" w:hAnsi="Ebrima"/>
          <w:sz w:val="24"/>
          <w:szCs w:val="24"/>
          <w:shd w:val="clear" w:color="auto" w:fill="FFFFFF"/>
        </w:rPr>
        <w:t>fiskalne i ekonomske politike</w:t>
      </w:r>
      <w:r w:rsidR="00B23C1E" w:rsidRPr="00314FA4">
        <w:rPr>
          <w:rFonts w:ascii="Ebrima" w:hAnsi="Ebrima"/>
          <w:sz w:val="24"/>
          <w:szCs w:val="24"/>
          <w:shd w:val="clear" w:color="auto" w:fill="FFFFFF"/>
        </w:rPr>
        <w:t xml:space="preserve"> I iste su pripremljene </w:t>
      </w:r>
      <w:r w:rsidR="000576D0" w:rsidRPr="00314FA4">
        <w:rPr>
          <w:rFonts w:ascii="Ebrima" w:hAnsi="Ebrima"/>
          <w:sz w:val="24"/>
          <w:szCs w:val="24"/>
          <w:shd w:val="clear" w:color="auto" w:fill="FFFFFF"/>
        </w:rPr>
        <w:t>na jedan konzervativniji pristup odnosno sa</w:t>
      </w:r>
      <w:r w:rsidR="007571F5" w:rsidRPr="00314FA4">
        <w:rPr>
          <w:rFonts w:ascii="Ebrima" w:hAnsi="Ebrima"/>
          <w:sz w:val="24"/>
          <w:szCs w:val="24"/>
          <w:shd w:val="clear" w:color="auto" w:fill="FFFFFF"/>
        </w:rPr>
        <w:t xml:space="preserve"> dozom opreza u procjeni.</w:t>
      </w:r>
    </w:p>
    <w:p w:rsidR="000576D0" w:rsidRPr="00314FA4" w:rsidRDefault="000576D0" w:rsidP="00525560">
      <w:pPr>
        <w:jc w:val="both"/>
        <w:rPr>
          <w:rFonts w:ascii="Ebrima" w:hAnsi="Ebrima" w:cs="Calibri"/>
          <w:sz w:val="24"/>
          <w:szCs w:val="24"/>
          <w:lang w:val="hr-HR"/>
        </w:rPr>
      </w:pPr>
    </w:p>
    <w:p w:rsidR="007571F5" w:rsidRPr="00314FA4" w:rsidRDefault="007571F5" w:rsidP="00577BAE">
      <w:pPr>
        <w:tabs>
          <w:tab w:val="left" w:pos="1575"/>
        </w:tabs>
        <w:spacing w:after="0" w:line="240" w:lineRule="auto"/>
        <w:jc w:val="center"/>
        <w:rPr>
          <w:rFonts w:ascii="Ebrima" w:eastAsia="Times New Roman" w:hAnsi="Ebrima" w:cs="Times New Roman"/>
          <w:b/>
          <w:kern w:val="28"/>
          <w:sz w:val="24"/>
          <w:szCs w:val="24"/>
          <w:lang w:val="hr-HR"/>
        </w:rPr>
      </w:pPr>
    </w:p>
    <w:p w:rsidR="00577BAE" w:rsidRPr="00314FA4" w:rsidRDefault="00577BAE" w:rsidP="00577BAE">
      <w:pPr>
        <w:tabs>
          <w:tab w:val="left" w:pos="1575"/>
        </w:tabs>
        <w:spacing w:after="0" w:line="240" w:lineRule="auto"/>
        <w:jc w:val="center"/>
        <w:rPr>
          <w:rFonts w:ascii="Ebrima" w:eastAsia="Times New Roman" w:hAnsi="Ebrima" w:cs="Times New Roman"/>
          <w:sz w:val="24"/>
          <w:szCs w:val="24"/>
          <w:lang w:val="hr-HR"/>
        </w:rPr>
      </w:pPr>
      <w:r w:rsidRPr="00314FA4">
        <w:rPr>
          <w:rFonts w:ascii="Ebrima" w:eastAsia="Times New Roman" w:hAnsi="Ebrima" w:cs="Times New Roman"/>
          <w:b/>
          <w:kern w:val="28"/>
          <w:sz w:val="24"/>
          <w:szCs w:val="24"/>
          <w:lang w:val="hr-HR"/>
        </w:rPr>
        <w:t>SREDNJOROČNE MAKROEKONOMSKE PRETPOSTAVKE I PROGNOZE</w:t>
      </w:r>
    </w:p>
    <w:p w:rsidR="00577BAE" w:rsidRPr="00314FA4" w:rsidRDefault="00577BAE" w:rsidP="00577BAE">
      <w:pPr>
        <w:spacing w:after="0" w:line="240" w:lineRule="auto"/>
        <w:jc w:val="center"/>
        <w:rPr>
          <w:rFonts w:ascii="Ebrima" w:eastAsia="Times New Roman" w:hAnsi="Ebrima" w:cs="Times New Roman"/>
          <w:sz w:val="24"/>
          <w:szCs w:val="24"/>
          <w:lang w:val="hr-HR"/>
        </w:rPr>
      </w:pPr>
    </w:p>
    <w:p w:rsidR="00577BAE" w:rsidRPr="00314FA4" w:rsidRDefault="00577BAE" w:rsidP="00577BAE">
      <w:pPr>
        <w:spacing w:after="0" w:line="240" w:lineRule="auto"/>
        <w:jc w:val="both"/>
        <w:rPr>
          <w:rFonts w:ascii="Ebrima" w:eastAsia="Times New Roman" w:hAnsi="Ebrima" w:cs="Times New Roman"/>
          <w:sz w:val="24"/>
          <w:szCs w:val="24"/>
          <w:lang w:val="hr-HR"/>
        </w:rPr>
      </w:pPr>
      <w:r w:rsidRPr="00314FA4">
        <w:rPr>
          <w:rFonts w:ascii="Ebrima" w:eastAsia="Times New Roman" w:hAnsi="Ebrima" w:cs="Times New Roman"/>
          <w:sz w:val="24"/>
          <w:szCs w:val="24"/>
          <w:lang w:val="hr-HR"/>
        </w:rPr>
        <w:t>Srednjoročni makroekonomski pokazatelji i prognoze na kojima su zasnovane preliminarne procjene Bosne i Hercegovine.</w:t>
      </w:r>
    </w:p>
    <w:p w:rsidR="00733687" w:rsidRPr="00314FA4" w:rsidRDefault="00733687" w:rsidP="00577BAE">
      <w:pPr>
        <w:spacing w:after="0" w:line="240" w:lineRule="auto"/>
        <w:jc w:val="both"/>
        <w:rPr>
          <w:rFonts w:ascii="Ebrima" w:eastAsia="Times New Roman" w:hAnsi="Ebrima" w:cs="Times New Roman"/>
          <w:sz w:val="24"/>
          <w:szCs w:val="24"/>
          <w:lang w:val="hr-HR"/>
        </w:rPr>
      </w:pPr>
    </w:p>
    <w:p w:rsidR="00733687" w:rsidRPr="00314FA4" w:rsidRDefault="00733687" w:rsidP="00733687">
      <w:pPr>
        <w:spacing w:after="0" w:line="240" w:lineRule="auto"/>
        <w:jc w:val="both"/>
        <w:rPr>
          <w:rFonts w:ascii="Ebrima" w:eastAsia="Times New Roman" w:hAnsi="Ebrima" w:cs="Times New Roman"/>
          <w:sz w:val="24"/>
          <w:szCs w:val="24"/>
          <w:lang w:val="hr-HR"/>
        </w:rPr>
      </w:pPr>
      <w:r w:rsidRPr="00314FA4">
        <w:rPr>
          <w:rFonts w:ascii="Ebrima" w:eastAsia="Times New Roman" w:hAnsi="Ebrima" w:cs="Times New Roman"/>
          <w:sz w:val="24"/>
          <w:szCs w:val="24"/>
          <w:lang w:val="hr-HR"/>
        </w:rPr>
        <w:t>Makroekonomski pokazatelji za Bosnu i Hercegovinu (zadnji dostupni) dati su u slijedećem pregledu:</w:t>
      </w:r>
      <w:r w:rsidRPr="00314FA4">
        <w:rPr>
          <w:rFonts w:ascii="Ebrima" w:eastAsia="Times New Roman" w:hAnsi="Ebrima" w:cs="Times New Roman"/>
          <w:sz w:val="24"/>
          <w:szCs w:val="24"/>
          <w:vertAlign w:val="superscript"/>
          <w:lang w:val="hr-HR"/>
        </w:rPr>
        <w:footnoteReference w:id="1"/>
      </w:r>
      <w:r w:rsidRPr="00314FA4">
        <w:rPr>
          <w:rFonts w:ascii="Ebrima" w:eastAsia="Times New Roman" w:hAnsi="Ebrima" w:cs="Times New Roman"/>
          <w:sz w:val="24"/>
          <w:szCs w:val="24"/>
          <w:lang w:val="hr-HR"/>
        </w:rPr>
        <w:t xml:space="preserve"> </w:t>
      </w:r>
    </w:p>
    <w:p w:rsidR="00733687" w:rsidRPr="00314FA4" w:rsidRDefault="00733687" w:rsidP="00733687">
      <w:pPr>
        <w:jc w:val="both"/>
        <w:rPr>
          <w:rFonts w:ascii="Ebrima" w:eastAsia="Times New Roman" w:hAnsi="Ebrima" w:cs="Times New Roman"/>
          <w:b/>
          <w:sz w:val="24"/>
          <w:szCs w:val="24"/>
          <w:lang w:val="hr-HR"/>
        </w:rPr>
      </w:pPr>
      <w:r w:rsidRPr="00314FA4">
        <w:rPr>
          <w:rFonts w:ascii="Ebrima" w:hAnsi="Ebrima" w:cs="Calibri"/>
          <w:sz w:val="24"/>
          <w:szCs w:val="24"/>
          <w:lang w:val="hr-HR"/>
        </w:rPr>
        <w:t xml:space="preserve"> </w:t>
      </w:r>
      <w:r w:rsidRPr="00314FA4">
        <w:rPr>
          <w:rFonts w:ascii="Arial" w:eastAsia="Times New Roman" w:hAnsi="Arial" w:cs="Arial"/>
          <w:b/>
          <w:bCs/>
          <w:sz w:val="17"/>
          <w:szCs w:val="17"/>
        </w:rPr>
        <w:t>Makroekonomski pokazatelji za period 2020.-2025. godine</w:t>
      </w:r>
    </w:p>
    <w:tbl>
      <w:tblPr>
        <w:tblW w:w="9804"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911"/>
        <w:gridCol w:w="982"/>
        <w:gridCol w:w="982"/>
        <w:gridCol w:w="982"/>
        <w:gridCol w:w="983"/>
        <w:gridCol w:w="982"/>
        <w:gridCol w:w="982"/>
      </w:tblGrid>
      <w:tr w:rsidR="00D74819" w:rsidRPr="00314FA4" w:rsidTr="00D74819">
        <w:trPr>
          <w:trHeight w:val="400"/>
        </w:trPr>
        <w:tc>
          <w:tcPr>
            <w:tcW w:w="3911" w:type="dxa"/>
            <w:vMerge w:val="restart"/>
          </w:tcPr>
          <w:p w:rsidR="00733687" w:rsidRPr="00314FA4" w:rsidRDefault="00733687" w:rsidP="00D74819">
            <w:pPr>
              <w:pStyle w:val="TableParagraph"/>
              <w:spacing w:before="0"/>
              <w:jc w:val="left"/>
              <w:rPr>
                <w:b/>
                <w:sz w:val="16"/>
              </w:rPr>
            </w:pPr>
          </w:p>
          <w:p w:rsidR="00733687" w:rsidRPr="00314FA4" w:rsidRDefault="00733687" w:rsidP="00D74819">
            <w:pPr>
              <w:pStyle w:val="TableParagraph"/>
              <w:spacing w:before="100"/>
              <w:ind w:left="1603" w:right="1571"/>
              <w:jc w:val="center"/>
              <w:rPr>
                <w:b/>
                <w:sz w:val="15"/>
              </w:rPr>
            </w:pPr>
            <w:r w:rsidRPr="00314FA4">
              <w:rPr>
                <w:b/>
                <w:w w:val="105"/>
                <w:sz w:val="15"/>
              </w:rPr>
              <w:t>Indikator</w:t>
            </w:r>
          </w:p>
        </w:tc>
        <w:tc>
          <w:tcPr>
            <w:tcW w:w="982" w:type="dxa"/>
            <w:shd w:val="clear" w:color="auto" w:fill="FFF1CC"/>
          </w:tcPr>
          <w:p w:rsidR="00733687" w:rsidRPr="00314FA4" w:rsidRDefault="00733687" w:rsidP="00D74819">
            <w:pPr>
              <w:pStyle w:val="TableParagraph"/>
              <w:spacing w:before="7"/>
              <w:ind w:left="176"/>
              <w:jc w:val="left"/>
              <w:rPr>
                <w:b/>
                <w:sz w:val="15"/>
              </w:rPr>
            </w:pPr>
            <w:r w:rsidRPr="00314FA4">
              <w:rPr>
                <w:b/>
                <w:w w:val="105"/>
                <w:sz w:val="15"/>
              </w:rPr>
              <w:t>Zvanični</w:t>
            </w:r>
          </w:p>
          <w:p w:rsidR="00733687" w:rsidRPr="00314FA4" w:rsidRDefault="00733687" w:rsidP="00D74819">
            <w:pPr>
              <w:pStyle w:val="TableParagraph"/>
              <w:spacing w:before="27"/>
              <w:ind w:left="241"/>
              <w:jc w:val="left"/>
              <w:rPr>
                <w:b/>
                <w:sz w:val="15"/>
              </w:rPr>
            </w:pPr>
            <w:r w:rsidRPr="00314FA4">
              <w:rPr>
                <w:b/>
                <w:w w:val="105"/>
                <w:sz w:val="15"/>
              </w:rPr>
              <w:t>podaci</w:t>
            </w:r>
          </w:p>
        </w:tc>
        <w:tc>
          <w:tcPr>
            <w:tcW w:w="4911" w:type="dxa"/>
            <w:gridSpan w:val="5"/>
            <w:shd w:val="clear" w:color="auto" w:fill="FFC000"/>
          </w:tcPr>
          <w:p w:rsidR="00733687" w:rsidRPr="00314FA4" w:rsidRDefault="00733687" w:rsidP="00D74819">
            <w:pPr>
              <w:pStyle w:val="TableParagraph"/>
              <w:spacing w:before="108"/>
              <w:ind w:left="2062" w:right="2033"/>
              <w:jc w:val="center"/>
              <w:rPr>
                <w:b/>
                <w:sz w:val="15"/>
              </w:rPr>
            </w:pPr>
            <w:r w:rsidRPr="00314FA4">
              <w:rPr>
                <w:b/>
                <w:w w:val="105"/>
                <w:sz w:val="15"/>
              </w:rPr>
              <w:t>Projekcije</w:t>
            </w:r>
          </w:p>
        </w:tc>
      </w:tr>
      <w:tr w:rsidR="00D74819" w:rsidRPr="00314FA4" w:rsidTr="00D74819">
        <w:trPr>
          <w:trHeight w:val="320"/>
        </w:trPr>
        <w:tc>
          <w:tcPr>
            <w:tcW w:w="3911" w:type="dxa"/>
            <w:vMerge/>
            <w:tcBorders>
              <w:top w:val="nil"/>
            </w:tcBorders>
          </w:tcPr>
          <w:p w:rsidR="00733687" w:rsidRPr="00314FA4" w:rsidRDefault="00733687" w:rsidP="00D74819">
            <w:pPr>
              <w:rPr>
                <w:sz w:val="2"/>
                <w:szCs w:val="2"/>
              </w:rPr>
            </w:pPr>
          </w:p>
        </w:tc>
        <w:tc>
          <w:tcPr>
            <w:tcW w:w="982" w:type="dxa"/>
          </w:tcPr>
          <w:p w:rsidR="00733687" w:rsidRPr="00314FA4" w:rsidRDefault="00733687" w:rsidP="00D74819">
            <w:pPr>
              <w:pStyle w:val="TableParagraph"/>
              <w:spacing w:before="77"/>
              <w:ind w:left="318"/>
              <w:jc w:val="left"/>
              <w:rPr>
                <w:b/>
                <w:sz w:val="15"/>
              </w:rPr>
            </w:pPr>
            <w:r w:rsidRPr="00314FA4">
              <w:rPr>
                <w:b/>
                <w:w w:val="105"/>
                <w:sz w:val="15"/>
              </w:rPr>
              <w:t>2020</w:t>
            </w:r>
          </w:p>
        </w:tc>
        <w:tc>
          <w:tcPr>
            <w:tcW w:w="982" w:type="dxa"/>
          </w:tcPr>
          <w:p w:rsidR="00733687" w:rsidRPr="00314FA4" w:rsidRDefault="00733687" w:rsidP="00D74819">
            <w:pPr>
              <w:pStyle w:val="TableParagraph"/>
              <w:spacing w:before="77"/>
              <w:ind w:left="318"/>
              <w:jc w:val="left"/>
              <w:rPr>
                <w:b/>
                <w:sz w:val="15"/>
              </w:rPr>
            </w:pPr>
            <w:r w:rsidRPr="00314FA4">
              <w:rPr>
                <w:b/>
                <w:w w:val="105"/>
                <w:sz w:val="15"/>
              </w:rPr>
              <w:t>2021</w:t>
            </w:r>
          </w:p>
        </w:tc>
        <w:tc>
          <w:tcPr>
            <w:tcW w:w="982" w:type="dxa"/>
          </w:tcPr>
          <w:p w:rsidR="00733687" w:rsidRPr="00314FA4" w:rsidRDefault="00733687" w:rsidP="00D74819">
            <w:pPr>
              <w:pStyle w:val="TableParagraph"/>
              <w:spacing w:before="77"/>
              <w:ind w:left="317"/>
              <w:jc w:val="left"/>
              <w:rPr>
                <w:b/>
                <w:sz w:val="15"/>
              </w:rPr>
            </w:pPr>
            <w:r w:rsidRPr="00314FA4">
              <w:rPr>
                <w:b/>
                <w:w w:val="105"/>
                <w:sz w:val="15"/>
              </w:rPr>
              <w:t>2022</w:t>
            </w:r>
          </w:p>
        </w:tc>
        <w:tc>
          <w:tcPr>
            <w:tcW w:w="983" w:type="dxa"/>
          </w:tcPr>
          <w:p w:rsidR="00733687" w:rsidRPr="00314FA4" w:rsidRDefault="00733687" w:rsidP="00D74819">
            <w:pPr>
              <w:pStyle w:val="TableParagraph"/>
              <w:spacing w:before="77"/>
              <w:ind w:left="317"/>
              <w:jc w:val="left"/>
              <w:rPr>
                <w:b/>
                <w:sz w:val="15"/>
              </w:rPr>
            </w:pPr>
            <w:r w:rsidRPr="00314FA4">
              <w:rPr>
                <w:b/>
                <w:w w:val="105"/>
                <w:sz w:val="15"/>
              </w:rPr>
              <w:t>2023</w:t>
            </w:r>
          </w:p>
        </w:tc>
        <w:tc>
          <w:tcPr>
            <w:tcW w:w="982" w:type="dxa"/>
          </w:tcPr>
          <w:p w:rsidR="00733687" w:rsidRPr="00314FA4" w:rsidRDefault="00733687" w:rsidP="00D74819">
            <w:pPr>
              <w:pStyle w:val="TableParagraph"/>
              <w:spacing w:before="77"/>
              <w:ind w:left="316"/>
              <w:jc w:val="left"/>
              <w:rPr>
                <w:b/>
                <w:sz w:val="15"/>
              </w:rPr>
            </w:pPr>
            <w:r w:rsidRPr="00314FA4">
              <w:rPr>
                <w:b/>
                <w:w w:val="105"/>
                <w:sz w:val="15"/>
              </w:rPr>
              <w:t>2024</w:t>
            </w:r>
          </w:p>
        </w:tc>
        <w:tc>
          <w:tcPr>
            <w:tcW w:w="982" w:type="dxa"/>
          </w:tcPr>
          <w:p w:rsidR="00733687" w:rsidRPr="00314FA4" w:rsidRDefault="00733687" w:rsidP="00D74819">
            <w:pPr>
              <w:pStyle w:val="TableParagraph"/>
              <w:spacing w:before="77"/>
              <w:ind w:left="316"/>
              <w:jc w:val="left"/>
              <w:rPr>
                <w:b/>
                <w:sz w:val="15"/>
              </w:rPr>
            </w:pPr>
            <w:r w:rsidRPr="00314FA4">
              <w:rPr>
                <w:b/>
                <w:w w:val="105"/>
                <w:sz w:val="15"/>
              </w:rPr>
              <w:t>2025</w:t>
            </w:r>
          </w:p>
        </w:tc>
      </w:tr>
      <w:tr w:rsidR="00D74819" w:rsidRPr="00314FA4" w:rsidTr="00D74819">
        <w:trPr>
          <w:trHeight w:val="262"/>
        </w:trPr>
        <w:tc>
          <w:tcPr>
            <w:tcW w:w="3911" w:type="dxa"/>
          </w:tcPr>
          <w:p w:rsidR="00733687" w:rsidRPr="00314FA4" w:rsidRDefault="00733687" w:rsidP="00D74819">
            <w:pPr>
              <w:pStyle w:val="TableParagraph"/>
              <w:ind w:left="30"/>
              <w:jc w:val="left"/>
              <w:rPr>
                <w:b/>
                <w:sz w:val="15"/>
              </w:rPr>
            </w:pPr>
            <w:r w:rsidRPr="00314FA4">
              <w:rPr>
                <w:b/>
                <w:w w:val="105"/>
                <w:sz w:val="15"/>
              </w:rPr>
              <w:t>Nominalni BDP u mil KM</w:t>
            </w:r>
          </w:p>
        </w:tc>
        <w:tc>
          <w:tcPr>
            <w:tcW w:w="982" w:type="dxa"/>
          </w:tcPr>
          <w:p w:rsidR="00733687" w:rsidRPr="00314FA4" w:rsidRDefault="00733687" w:rsidP="00D74819">
            <w:pPr>
              <w:pStyle w:val="TableParagraph"/>
              <w:ind w:right="147"/>
              <w:rPr>
                <w:sz w:val="15"/>
              </w:rPr>
            </w:pPr>
            <w:r w:rsidRPr="00314FA4">
              <w:rPr>
                <w:sz w:val="15"/>
              </w:rPr>
              <w:t>35,447</w:t>
            </w:r>
          </w:p>
        </w:tc>
        <w:tc>
          <w:tcPr>
            <w:tcW w:w="982" w:type="dxa"/>
          </w:tcPr>
          <w:p w:rsidR="00733687" w:rsidRPr="00314FA4" w:rsidRDefault="00733687" w:rsidP="00D74819">
            <w:pPr>
              <w:pStyle w:val="TableParagraph"/>
              <w:ind w:right="147"/>
              <w:rPr>
                <w:sz w:val="15"/>
              </w:rPr>
            </w:pPr>
            <w:r w:rsidRPr="00314FA4">
              <w:rPr>
                <w:sz w:val="15"/>
              </w:rPr>
              <w:t>39,921</w:t>
            </w:r>
          </w:p>
        </w:tc>
        <w:tc>
          <w:tcPr>
            <w:tcW w:w="982" w:type="dxa"/>
          </w:tcPr>
          <w:p w:rsidR="00733687" w:rsidRPr="00314FA4" w:rsidRDefault="00733687" w:rsidP="00D74819">
            <w:pPr>
              <w:pStyle w:val="TableParagraph"/>
              <w:ind w:right="147"/>
              <w:rPr>
                <w:sz w:val="15"/>
              </w:rPr>
            </w:pPr>
            <w:r w:rsidRPr="00314FA4">
              <w:rPr>
                <w:sz w:val="15"/>
              </w:rPr>
              <w:t>43,994</w:t>
            </w:r>
          </w:p>
        </w:tc>
        <w:tc>
          <w:tcPr>
            <w:tcW w:w="983" w:type="dxa"/>
          </w:tcPr>
          <w:p w:rsidR="00733687" w:rsidRPr="00314FA4" w:rsidRDefault="00733687" w:rsidP="00D74819">
            <w:pPr>
              <w:pStyle w:val="TableParagraph"/>
              <w:ind w:right="148"/>
              <w:rPr>
                <w:sz w:val="15"/>
              </w:rPr>
            </w:pPr>
            <w:r w:rsidRPr="00314FA4">
              <w:rPr>
                <w:sz w:val="15"/>
              </w:rPr>
              <w:t>46,758</w:t>
            </w:r>
          </w:p>
        </w:tc>
        <w:tc>
          <w:tcPr>
            <w:tcW w:w="982" w:type="dxa"/>
          </w:tcPr>
          <w:p w:rsidR="00733687" w:rsidRPr="00314FA4" w:rsidRDefault="00733687" w:rsidP="00D74819">
            <w:pPr>
              <w:pStyle w:val="TableParagraph"/>
              <w:ind w:right="148"/>
              <w:rPr>
                <w:sz w:val="15"/>
              </w:rPr>
            </w:pPr>
            <w:r w:rsidRPr="00314FA4">
              <w:rPr>
                <w:sz w:val="15"/>
              </w:rPr>
              <w:t>49,270</w:t>
            </w:r>
          </w:p>
        </w:tc>
        <w:tc>
          <w:tcPr>
            <w:tcW w:w="982" w:type="dxa"/>
          </w:tcPr>
          <w:p w:rsidR="00733687" w:rsidRPr="00314FA4" w:rsidRDefault="00733687" w:rsidP="00D74819">
            <w:pPr>
              <w:pStyle w:val="TableParagraph"/>
              <w:ind w:right="148"/>
              <w:rPr>
                <w:sz w:val="15"/>
              </w:rPr>
            </w:pPr>
            <w:r w:rsidRPr="00314FA4">
              <w:rPr>
                <w:sz w:val="15"/>
              </w:rPr>
              <w:t>52,003</w:t>
            </w:r>
          </w:p>
        </w:tc>
      </w:tr>
      <w:tr w:rsidR="00D74819" w:rsidRPr="00314FA4" w:rsidTr="00D74819">
        <w:trPr>
          <w:trHeight w:val="262"/>
        </w:trPr>
        <w:tc>
          <w:tcPr>
            <w:tcW w:w="3911" w:type="dxa"/>
          </w:tcPr>
          <w:p w:rsidR="00733687" w:rsidRPr="00314FA4" w:rsidRDefault="00733687" w:rsidP="00D74819">
            <w:pPr>
              <w:pStyle w:val="TableParagraph"/>
              <w:ind w:left="30"/>
              <w:jc w:val="left"/>
              <w:rPr>
                <w:b/>
                <w:sz w:val="15"/>
              </w:rPr>
            </w:pPr>
            <w:r w:rsidRPr="00314FA4">
              <w:rPr>
                <w:b/>
                <w:w w:val="105"/>
                <w:sz w:val="15"/>
              </w:rPr>
              <w:t>Nominalni rast u %</w:t>
            </w:r>
          </w:p>
        </w:tc>
        <w:tc>
          <w:tcPr>
            <w:tcW w:w="982" w:type="dxa"/>
          </w:tcPr>
          <w:p w:rsidR="00733687" w:rsidRPr="00314FA4" w:rsidRDefault="00733687" w:rsidP="00D74819">
            <w:pPr>
              <w:pStyle w:val="TableParagraph"/>
              <w:ind w:right="147"/>
              <w:rPr>
                <w:sz w:val="15"/>
              </w:rPr>
            </w:pPr>
            <w:r w:rsidRPr="00314FA4">
              <w:rPr>
                <w:sz w:val="15"/>
              </w:rPr>
              <w:t>-3</w:t>
            </w:r>
          </w:p>
        </w:tc>
        <w:tc>
          <w:tcPr>
            <w:tcW w:w="982" w:type="dxa"/>
          </w:tcPr>
          <w:p w:rsidR="00733687" w:rsidRPr="00314FA4" w:rsidRDefault="00733687" w:rsidP="00D74819">
            <w:pPr>
              <w:pStyle w:val="TableParagraph"/>
              <w:ind w:right="147"/>
              <w:rPr>
                <w:sz w:val="15"/>
              </w:rPr>
            </w:pPr>
            <w:r w:rsidRPr="00314FA4">
              <w:rPr>
                <w:sz w:val="15"/>
              </w:rPr>
              <w:t>12,6</w:t>
            </w:r>
          </w:p>
        </w:tc>
        <w:tc>
          <w:tcPr>
            <w:tcW w:w="982" w:type="dxa"/>
          </w:tcPr>
          <w:p w:rsidR="00733687" w:rsidRPr="00314FA4" w:rsidRDefault="00733687" w:rsidP="00D74819">
            <w:pPr>
              <w:pStyle w:val="TableParagraph"/>
              <w:ind w:right="147"/>
              <w:rPr>
                <w:sz w:val="15"/>
              </w:rPr>
            </w:pPr>
            <w:r w:rsidRPr="00314FA4">
              <w:rPr>
                <w:w w:val="105"/>
                <w:sz w:val="15"/>
              </w:rPr>
              <w:t>10,2</w:t>
            </w:r>
          </w:p>
        </w:tc>
        <w:tc>
          <w:tcPr>
            <w:tcW w:w="983" w:type="dxa"/>
          </w:tcPr>
          <w:p w:rsidR="00733687" w:rsidRPr="00314FA4" w:rsidRDefault="00733687" w:rsidP="00D74819">
            <w:pPr>
              <w:pStyle w:val="TableParagraph"/>
              <w:ind w:right="148"/>
              <w:rPr>
                <w:sz w:val="15"/>
              </w:rPr>
            </w:pPr>
            <w:r w:rsidRPr="00314FA4">
              <w:rPr>
                <w:sz w:val="15"/>
              </w:rPr>
              <w:t>6,3</w:t>
            </w:r>
          </w:p>
        </w:tc>
        <w:tc>
          <w:tcPr>
            <w:tcW w:w="982" w:type="dxa"/>
          </w:tcPr>
          <w:p w:rsidR="00733687" w:rsidRPr="00314FA4" w:rsidRDefault="00733687" w:rsidP="00D74819">
            <w:pPr>
              <w:pStyle w:val="TableParagraph"/>
              <w:ind w:right="148"/>
              <w:rPr>
                <w:sz w:val="15"/>
              </w:rPr>
            </w:pPr>
            <w:r w:rsidRPr="00314FA4">
              <w:rPr>
                <w:sz w:val="15"/>
              </w:rPr>
              <w:t>5,4</w:t>
            </w:r>
          </w:p>
        </w:tc>
        <w:tc>
          <w:tcPr>
            <w:tcW w:w="982" w:type="dxa"/>
          </w:tcPr>
          <w:p w:rsidR="00733687" w:rsidRPr="00314FA4" w:rsidRDefault="00733687" w:rsidP="00D74819">
            <w:pPr>
              <w:pStyle w:val="TableParagraph"/>
              <w:ind w:right="148"/>
              <w:rPr>
                <w:sz w:val="15"/>
              </w:rPr>
            </w:pPr>
            <w:r w:rsidRPr="00314FA4">
              <w:rPr>
                <w:sz w:val="15"/>
              </w:rPr>
              <w:t>5,5</w:t>
            </w:r>
          </w:p>
        </w:tc>
      </w:tr>
      <w:tr w:rsidR="00D74819" w:rsidRPr="00314FA4" w:rsidTr="00D74819">
        <w:trPr>
          <w:trHeight w:val="262"/>
        </w:trPr>
        <w:tc>
          <w:tcPr>
            <w:tcW w:w="3911" w:type="dxa"/>
          </w:tcPr>
          <w:p w:rsidR="00733687" w:rsidRPr="00314FA4" w:rsidRDefault="00733687" w:rsidP="00D74819">
            <w:pPr>
              <w:pStyle w:val="TableParagraph"/>
              <w:ind w:left="30"/>
              <w:jc w:val="left"/>
              <w:rPr>
                <w:b/>
                <w:sz w:val="15"/>
              </w:rPr>
            </w:pPr>
            <w:r w:rsidRPr="00314FA4">
              <w:rPr>
                <w:b/>
                <w:w w:val="105"/>
                <w:sz w:val="15"/>
              </w:rPr>
              <w:t>BDP deflator (prethodna godina = 100)</w:t>
            </w:r>
          </w:p>
        </w:tc>
        <w:tc>
          <w:tcPr>
            <w:tcW w:w="982" w:type="dxa"/>
          </w:tcPr>
          <w:p w:rsidR="00733687" w:rsidRPr="00314FA4" w:rsidRDefault="00733687" w:rsidP="00D74819">
            <w:pPr>
              <w:pStyle w:val="TableParagraph"/>
              <w:ind w:right="147"/>
              <w:rPr>
                <w:sz w:val="15"/>
              </w:rPr>
            </w:pPr>
            <w:r w:rsidRPr="00314FA4">
              <w:rPr>
                <w:sz w:val="15"/>
              </w:rPr>
              <w:t>100,2</w:t>
            </w:r>
          </w:p>
        </w:tc>
        <w:tc>
          <w:tcPr>
            <w:tcW w:w="982" w:type="dxa"/>
          </w:tcPr>
          <w:p w:rsidR="00733687" w:rsidRPr="00314FA4" w:rsidRDefault="00733687" w:rsidP="00D74819">
            <w:pPr>
              <w:pStyle w:val="TableParagraph"/>
              <w:ind w:right="147"/>
              <w:rPr>
                <w:sz w:val="15"/>
              </w:rPr>
            </w:pPr>
            <w:r w:rsidRPr="00314FA4">
              <w:rPr>
                <w:sz w:val="15"/>
              </w:rPr>
              <w:t>104,7</w:t>
            </w:r>
          </w:p>
        </w:tc>
        <w:tc>
          <w:tcPr>
            <w:tcW w:w="982" w:type="dxa"/>
          </w:tcPr>
          <w:p w:rsidR="00733687" w:rsidRPr="00314FA4" w:rsidRDefault="00733687" w:rsidP="00D74819">
            <w:pPr>
              <w:pStyle w:val="TableParagraph"/>
              <w:ind w:right="147"/>
              <w:rPr>
                <w:sz w:val="15"/>
              </w:rPr>
            </w:pPr>
            <w:r w:rsidRPr="00314FA4">
              <w:rPr>
                <w:sz w:val="15"/>
              </w:rPr>
              <w:t>107,3</w:t>
            </w:r>
          </w:p>
        </w:tc>
        <w:tc>
          <w:tcPr>
            <w:tcW w:w="983" w:type="dxa"/>
          </w:tcPr>
          <w:p w:rsidR="00733687" w:rsidRPr="00314FA4" w:rsidRDefault="00733687" w:rsidP="00D74819">
            <w:pPr>
              <w:pStyle w:val="TableParagraph"/>
              <w:ind w:right="148"/>
              <w:rPr>
                <w:sz w:val="15"/>
              </w:rPr>
            </w:pPr>
            <w:r w:rsidRPr="00314FA4">
              <w:rPr>
                <w:sz w:val="15"/>
              </w:rPr>
              <w:t>104,5</w:t>
            </w:r>
          </w:p>
        </w:tc>
        <w:tc>
          <w:tcPr>
            <w:tcW w:w="982" w:type="dxa"/>
          </w:tcPr>
          <w:p w:rsidR="00733687" w:rsidRPr="00314FA4" w:rsidRDefault="00733687" w:rsidP="00D74819">
            <w:pPr>
              <w:pStyle w:val="TableParagraph"/>
              <w:ind w:right="148"/>
              <w:rPr>
                <w:sz w:val="15"/>
              </w:rPr>
            </w:pPr>
            <w:r w:rsidRPr="00314FA4">
              <w:rPr>
                <w:sz w:val="15"/>
              </w:rPr>
              <w:t>102,6</w:t>
            </w:r>
          </w:p>
        </w:tc>
        <w:tc>
          <w:tcPr>
            <w:tcW w:w="982" w:type="dxa"/>
          </w:tcPr>
          <w:p w:rsidR="00733687" w:rsidRPr="00314FA4" w:rsidRDefault="00733687" w:rsidP="00D74819">
            <w:pPr>
              <w:pStyle w:val="TableParagraph"/>
              <w:ind w:right="148"/>
              <w:rPr>
                <w:sz w:val="15"/>
              </w:rPr>
            </w:pPr>
            <w:r w:rsidRPr="00314FA4">
              <w:rPr>
                <w:sz w:val="15"/>
              </w:rPr>
              <w:t>102,4</w:t>
            </w:r>
          </w:p>
        </w:tc>
      </w:tr>
      <w:tr w:rsidR="00D74819" w:rsidRPr="00314FA4" w:rsidTr="00D74819">
        <w:trPr>
          <w:trHeight w:val="262"/>
        </w:trPr>
        <w:tc>
          <w:tcPr>
            <w:tcW w:w="3911" w:type="dxa"/>
          </w:tcPr>
          <w:p w:rsidR="00733687" w:rsidRPr="00314FA4" w:rsidRDefault="00733687" w:rsidP="00D74819">
            <w:pPr>
              <w:pStyle w:val="TableParagraph"/>
              <w:spacing w:before="46"/>
              <w:ind w:left="30"/>
              <w:jc w:val="left"/>
              <w:rPr>
                <w:b/>
                <w:sz w:val="15"/>
              </w:rPr>
            </w:pPr>
            <w:r w:rsidRPr="00314FA4">
              <w:rPr>
                <w:b/>
                <w:w w:val="105"/>
                <w:sz w:val="15"/>
              </w:rPr>
              <w:t>Realni BDP u mil KM (prethodna godina = 100)</w:t>
            </w:r>
          </w:p>
        </w:tc>
        <w:tc>
          <w:tcPr>
            <w:tcW w:w="982" w:type="dxa"/>
          </w:tcPr>
          <w:p w:rsidR="00733687" w:rsidRPr="00314FA4" w:rsidRDefault="00733687" w:rsidP="00D74819">
            <w:pPr>
              <w:pStyle w:val="TableParagraph"/>
              <w:ind w:right="147"/>
              <w:rPr>
                <w:sz w:val="15"/>
              </w:rPr>
            </w:pPr>
            <w:r w:rsidRPr="00314FA4">
              <w:rPr>
                <w:sz w:val="15"/>
              </w:rPr>
              <w:t>35,372</w:t>
            </w:r>
          </w:p>
        </w:tc>
        <w:tc>
          <w:tcPr>
            <w:tcW w:w="982" w:type="dxa"/>
          </w:tcPr>
          <w:p w:rsidR="00733687" w:rsidRPr="00314FA4" w:rsidRDefault="00733687" w:rsidP="00D74819">
            <w:pPr>
              <w:pStyle w:val="TableParagraph"/>
              <w:ind w:right="147"/>
              <w:rPr>
                <w:sz w:val="15"/>
              </w:rPr>
            </w:pPr>
            <w:r w:rsidRPr="00314FA4">
              <w:rPr>
                <w:sz w:val="15"/>
              </w:rPr>
              <w:t>38,136</w:t>
            </w:r>
          </w:p>
        </w:tc>
        <w:tc>
          <w:tcPr>
            <w:tcW w:w="982" w:type="dxa"/>
          </w:tcPr>
          <w:p w:rsidR="00733687" w:rsidRPr="00314FA4" w:rsidRDefault="00733687" w:rsidP="00D74819">
            <w:pPr>
              <w:pStyle w:val="TableParagraph"/>
              <w:ind w:right="147"/>
              <w:rPr>
                <w:sz w:val="15"/>
              </w:rPr>
            </w:pPr>
            <w:r w:rsidRPr="00314FA4">
              <w:rPr>
                <w:sz w:val="15"/>
              </w:rPr>
              <w:t>41,009</w:t>
            </w:r>
          </w:p>
        </w:tc>
        <w:tc>
          <w:tcPr>
            <w:tcW w:w="983" w:type="dxa"/>
          </w:tcPr>
          <w:p w:rsidR="00733687" w:rsidRPr="00314FA4" w:rsidRDefault="00733687" w:rsidP="00D74819">
            <w:pPr>
              <w:pStyle w:val="TableParagraph"/>
              <w:ind w:right="148"/>
              <w:rPr>
                <w:sz w:val="15"/>
              </w:rPr>
            </w:pPr>
            <w:r w:rsidRPr="00314FA4">
              <w:rPr>
                <w:sz w:val="15"/>
              </w:rPr>
              <w:t>44,732</w:t>
            </w:r>
          </w:p>
        </w:tc>
        <w:tc>
          <w:tcPr>
            <w:tcW w:w="982" w:type="dxa"/>
          </w:tcPr>
          <w:p w:rsidR="00733687" w:rsidRPr="00314FA4" w:rsidRDefault="00733687" w:rsidP="00D74819">
            <w:pPr>
              <w:pStyle w:val="TableParagraph"/>
              <w:ind w:right="148"/>
              <w:rPr>
                <w:sz w:val="15"/>
              </w:rPr>
            </w:pPr>
            <w:r w:rsidRPr="00314FA4">
              <w:rPr>
                <w:sz w:val="15"/>
              </w:rPr>
              <w:t>48,032</w:t>
            </w:r>
          </w:p>
        </w:tc>
        <w:tc>
          <w:tcPr>
            <w:tcW w:w="982" w:type="dxa"/>
          </w:tcPr>
          <w:p w:rsidR="00733687" w:rsidRPr="00314FA4" w:rsidRDefault="00733687" w:rsidP="00D74819">
            <w:pPr>
              <w:pStyle w:val="TableParagraph"/>
              <w:ind w:right="148"/>
              <w:rPr>
                <w:sz w:val="15"/>
              </w:rPr>
            </w:pPr>
            <w:r w:rsidRPr="00314FA4">
              <w:rPr>
                <w:sz w:val="15"/>
              </w:rPr>
              <w:t>50,769</w:t>
            </w:r>
          </w:p>
        </w:tc>
      </w:tr>
      <w:tr w:rsidR="00D74819" w:rsidRPr="00314FA4" w:rsidTr="00D74819">
        <w:trPr>
          <w:trHeight w:val="262"/>
        </w:trPr>
        <w:tc>
          <w:tcPr>
            <w:tcW w:w="3911" w:type="dxa"/>
          </w:tcPr>
          <w:p w:rsidR="00733687" w:rsidRPr="00314FA4" w:rsidRDefault="00733687" w:rsidP="00D74819">
            <w:pPr>
              <w:pStyle w:val="TableParagraph"/>
              <w:spacing w:before="46"/>
              <w:ind w:left="30"/>
              <w:jc w:val="left"/>
              <w:rPr>
                <w:b/>
                <w:sz w:val="15"/>
              </w:rPr>
            </w:pPr>
            <w:r w:rsidRPr="00314FA4">
              <w:rPr>
                <w:b/>
                <w:w w:val="105"/>
                <w:sz w:val="15"/>
              </w:rPr>
              <w:t>Realni rast u %</w:t>
            </w:r>
          </w:p>
        </w:tc>
        <w:tc>
          <w:tcPr>
            <w:tcW w:w="982" w:type="dxa"/>
          </w:tcPr>
          <w:p w:rsidR="00733687" w:rsidRPr="00314FA4" w:rsidRDefault="00733687" w:rsidP="00D74819">
            <w:pPr>
              <w:pStyle w:val="TableParagraph"/>
              <w:ind w:right="147"/>
              <w:rPr>
                <w:sz w:val="15"/>
              </w:rPr>
            </w:pPr>
            <w:r w:rsidRPr="00314FA4">
              <w:rPr>
                <w:sz w:val="15"/>
              </w:rPr>
              <w:t>-3,2</w:t>
            </w:r>
          </w:p>
        </w:tc>
        <w:tc>
          <w:tcPr>
            <w:tcW w:w="982" w:type="dxa"/>
          </w:tcPr>
          <w:p w:rsidR="00733687" w:rsidRPr="00314FA4" w:rsidRDefault="00733687" w:rsidP="00D74819">
            <w:pPr>
              <w:pStyle w:val="TableParagraph"/>
              <w:ind w:right="147"/>
              <w:rPr>
                <w:sz w:val="15"/>
              </w:rPr>
            </w:pPr>
            <w:r w:rsidRPr="00314FA4">
              <w:rPr>
                <w:sz w:val="15"/>
              </w:rPr>
              <w:t>7,6</w:t>
            </w:r>
          </w:p>
        </w:tc>
        <w:tc>
          <w:tcPr>
            <w:tcW w:w="982" w:type="dxa"/>
          </w:tcPr>
          <w:p w:rsidR="00733687" w:rsidRPr="00314FA4" w:rsidRDefault="00733687" w:rsidP="00D74819">
            <w:pPr>
              <w:pStyle w:val="TableParagraph"/>
              <w:ind w:right="147"/>
              <w:rPr>
                <w:sz w:val="15"/>
              </w:rPr>
            </w:pPr>
            <w:r w:rsidRPr="00314FA4">
              <w:rPr>
                <w:w w:val="105"/>
                <w:sz w:val="15"/>
              </w:rPr>
              <w:t>2,7</w:t>
            </w:r>
          </w:p>
        </w:tc>
        <w:tc>
          <w:tcPr>
            <w:tcW w:w="983" w:type="dxa"/>
          </w:tcPr>
          <w:p w:rsidR="00733687" w:rsidRPr="00314FA4" w:rsidRDefault="00733687" w:rsidP="00D74819">
            <w:pPr>
              <w:pStyle w:val="TableParagraph"/>
              <w:ind w:right="148"/>
              <w:rPr>
                <w:sz w:val="15"/>
              </w:rPr>
            </w:pPr>
            <w:r w:rsidRPr="00314FA4">
              <w:rPr>
                <w:sz w:val="15"/>
              </w:rPr>
              <w:t>1,7</w:t>
            </w:r>
          </w:p>
        </w:tc>
        <w:tc>
          <w:tcPr>
            <w:tcW w:w="982" w:type="dxa"/>
          </w:tcPr>
          <w:p w:rsidR="00733687" w:rsidRPr="00314FA4" w:rsidRDefault="00733687" w:rsidP="00D74819">
            <w:pPr>
              <w:pStyle w:val="TableParagraph"/>
              <w:ind w:right="148"/>
              <w:rPr>
                <w:sz w:val="15"/>
              </w:rPr>
            </w:pPr>
            <w:r w:rsidRPr="00314FA4">
              <w:rPr>
                <w:sz w:val="15"/>
              </w:rPr>
              <w:t>2,7</w:t>
            </w:r>
          </w:p>
        </w:tc>
        <w:tc>
          <w:tcPr>
            <w:tcW w:w="982" w:type="dxa"/>
          </w:tcPr>
          <w:p w:rsidR="00733687" w:rsidRPr="00314FA4" w:rsidRDefault="00733687" w:rsidP="00D74819">
            <w:pPr>
              <w:pStyle w:val="TableParagraph"/>
              <w:ind w:right="148"/>
              <w:rPr>
                <w:sz w:val="15"/>
              </w:rPr>
            </w:pPr>
            <w:r w:rsidRPr="00314FA4">
              <w:rPr>
                <w:sz w:val="15"/>
              </w:rPr>
              <w:t>3</w:t>
            </w:r>
          </w:p>
        </w:tc>
      </w:tr>
      <w:tr w:rsidR="00D74819" w:rsidRPr="00314FA4" w:rsidTr="00D74819">
        <w:trPr>
          <w:trHeight w:val="262"/>
        </w:trPr>
        <w:tc>
          <w:tcPr>
            <w:tcW w:w="3911" w:type="dxa"/>
          </w:tcPr>
          <w:p w:rsidR="00733687" w:rsidRPr="00314FA4" w:rsidRDefault="00733687" w:rsidP="00D74819">
            <w:pPr>
              <w:pStyle w:val="TableParagraph"/>
              <w:spacing w:before="46"/>
              <w:ind w:left="30"/>
              <w:jc w:val="left"/>
              <w:rPr>
                <w:b/>
                <w:sz w:val="15"/>
              </w:rPr>
            </w:pPr>
            <w:r w:rsidRPr="00314FA4">
              <w:rPr>
                <w:b/>
                <w:w w:val="105"/>
                <w:sz w:val="15"/>
              </w:rPr>
              <w:t>Inflacija mjerena indeksom potrošačkih cijena u %</w:t>
            </w:r>
          </w:p>
        </w:tc>
        <w:tc>
          <w:tcPr>
            <w:tcW w:w="982" w:type="dxa"/>
          </w:tcPr>
          <w:p w:rsidR="00733687" w:rsidRPr="00314FA4" w:rsidRDefault="00733687" w:rsidP="00D74819">
            <w:pPr>
              <w:pStyle w:val="TableParagraph"/>
              <w:ind w:right="147"/>
              <w:rPr>
                <w:sz w:val="15"/>
              </w:rPr>
            </w:pPr>
            <w:r w:rsidRPr="00314FA4">
              <w:rPr>
                <w:sz w:val="15"/>
              </w:rPr>
              <w:t>-1</w:t>
            </w:r>
          </w:p>
        </w:tc>
        <w:tc>
          <w:tcPr>
            <w:tcW w:w="982" w:type="dxa"/>
          </w:tcPr>
          <w:p w:rsidR="00733687" w:rsidRPr="00314FA4" w:rsidRDefault="00733687" w:rsidP="00D74819">
            <w:pPr>
              <w:pStyle w:val="TableParagraph"/>
              <w:ind w:right="147"/>
              <w:rPr>
                <w:sz w:val="15"/>
              </w:rPr>
            </w:pPr>
            <w:r w:rsidRPr="00314FA4">
              <w:rPr>
                <w:sz w:val="15"/>
              </w:rPr>
              <w:t>2</w:t>
            </w:r>
          </w:p>
        </w:tc>
        <w:tc>
          <w:tcPr>
            <w:tcW w:w="982" w:type="dxa"/>
          </w:tcPr>
          <w:p w:rsidR="00733687" w:rsidRPr="00314FA4" w:rsidRDefault="00733687" w:rsidP="00D74819">
            <w:pPr>
              <w:pStyle w:val="TableParagraph"/>
              <w:ind w:right="147"/>
              <w:rPr>
                <w:sz w:val="15"/>
              </w:rPr>
            </w:pPr>
            <w:r w:rsidRPr="00314FA4">
              <w:rPr>
                <w:w w:val="105"/>
                <w:sz w:val="15"/>
              </w:rPr>
              <w:t>13,1</w:t>
            </w:r>
          </w:p>
        </w:tc>
        <w:tc>
          <w:tcPr>
            <w:tcW w:w="983" w:type="dxa"/>
          </w:tcPr>
          <w:p w:rsidR="00733687" w:rsidRPr="00314FA4" w:rsidRDefault="00733687" w:rsidP="00D74819">
            <w:pPr>
              <w:pStyle w:val="TableParagraph"/>
              <w:ind w:right="148"/>
              <w:rPr>
                <w:sz w:val="15"/>
              </w:rPr>
            </w:pPr>
            <w:r w:rsidRPr="00314FA4">
              <w:rPr>
                <w:sz w:val="15"/>
              </w:rPr>
              <w:t>6,7</w:t>
            </w:r>
          </w:p>
        </w:tc>
        <w:tc>
          <w:tcPr>
            <w:tcW w:w="982" w:type="dxa"/>
          </w:tcPr>
          <w:p w:rsidR="00733687" w:rsidRPr="00314FA4" w:rsidRDefault="00733687" w:rsidP="00D74819">
            <w:pPr>
              <w:pStyle w:val="TableParagraph"/>
              <w:ind w:right="148"/>
              <w:rPr>
                <w:sz w:val="15"/>
              </w:rPr>
            </w:pPr>
            <w:r w:rsidRPr="00314FA4">
              <w:rPr>
                <w:sz w:val="15"/>
              </w:rPr>
              <w:t>3,1</w:t>
            </w:r>
          </w:p>
        </w:tc>
        <w:tc>
          <w:tcPr>
            <w:tcW w:w="982" w:type="dxa"/>
          </w:tcPr>
          <w:p w:rsidR="00733687" w:rsidRPr="00314FA4" w:rsidRDefault="00733687" w:rsidP="00D74819">
            <w:pPr>
              <w:pStyle w:val="TableParagraph"/>
              <w:ind w:right="148"/>
              <w:rPr>
                <w:sz w:val="15"/>
              </w:rPr>
            </w:pPr>
            <w:r w:rsidRPr="00314FA4">
              <w:rPr>
                <w:sz w:val="15"/>
              </w:rPr>
              <w:t>2,2</w:t>
            </w:r>
          </w:p>
        </w:tc>
      </w:tr>
      <w:tr w:rsidR="00D74819" w:rsidRPr="00314FA4" w:rsidTr="00D74819">
        <w:trPr>
          <w:trHeight w:val="262"/>
        </w:trPr>
        <w:tc>
          <w:tcPr>
            <w:tcW w:w="3911" w:type="dxa"/>
          </w:tcPr>
          <w:p w:rsidR="00733687" w:rsidRPr="00314FA4" w:rsidRDefault="00733687" w:rsidP="00D74819">
            <w:pPr>
              <w:pStyle w:val="TableParagraph"/>
              <w:ind w:left="30"/>
              <w:jc w:val="left"/>
              <w:rPr>
                <w:b/>
                <w:sz w:val="15"/>
              </w:rPr>
            </w:pPr>
            <w:r w:rsidRPr="00314FA4">
              <w:rPr>
                <w:b/>
                <w:w w:val="105"/>
                <w:sz w:val="15"/>
              </w:rPr>
              <w:t>Potrošnja u mil KM</w:t>
            </w:r>
          </w:p>
        </w:tc>
        <w:tc>
          <w:tcPr>
            <w:tcW w:w="982" w:type="dxa"/>
          </w:tcPr>
          <w:p w:rsidR="00733687" w:rsidRPr="00314FA4" w:rsidRDefault="00733687" w:rsidP="00D74819">
            <w:pPr>
              <w:pStyle w:val="TableParagraph"/>
              <w:ind w:right="147"/>
              <w:rPr>
                <w:sz w:val="15"/>
              </w:rPr>
            </w:pPr>
            <w:r w:rsidRPr="00314FA4">
              <w:rPr>
                <w:sz w:val="15"/>
              </w:rPr>
              <w:t>32197</w:t>
            </w:r>
          </w:p>
        </w:tc>
        <w:tc>
          <w:tcPr>
            <w:tcW w:w="982" w:type="dxa"/>
          </w:tcPr>
          <w:p w:rsidR="00733687" w:rsidRPr="00314FA4" w:rsidRDefault="00733687" w:rsidP="00D74819">
            <w:pPr>
              <w:pStyle w:val="TableParagraph"/>
              <w:ind w:right="147"/>
              <w:rPr>
                <w:sz w:val="15"/>
              </w:rPr>
            </w:pPr>
            <w:r w:rsidRPr="00314FA4">
              <w:rPr>
                <w:sz w:val="15"/>
              </w:rPr>
              <w:t>34342</w:t>
            </w:r>
          </w:p>
        </w:tc>
        <w:tc>
          <w:tcPr>
            <w:tcW w:w="982" w:type="dxa"/>
          </w:tcPr>
          <w:p w:rsidR="00733687" w:rsidRPr="00314FA4" w:rsidRDefault="00733687" w:rsidP="00D74819">
            <w:pPr>
              <w:pStyle w:val="TableParagraph"/>
              <w:ind w:right="147"/>
              <w:rPr>
                <w:sz w:val="15"/>
              </w:rPr>
            </w:pPr>
            <w:r w:rsidRPr="00314FA4">
              <w:rPr>
                <w:sz w:val="15"/>
              </w:rPr>
              <w:t>38192</w:t>
            </w:r>
          </w:p>
        </w:tc>
        <w:tc>
          <w:tcPr>
            <w:tcW w:w="983" w:type="dxa"/>
          </w:tcPr>
          <w:p w:rsidR="00733687" w:rsidRPr="00314FA4" w:rsidRDefault="00733687" w:rsidP="00D74819">
            <w:pPr>
              <w:pStyle w:val="TableParagraph"/>
              <w:ind w:right="148"/>
              <w:rPr>
                <w:sz w:val="15"/>
              </w:rPr>
            </w:pPr>
            <w:r w:rsidRPr="00314FA4">
              <w:rPr>
                <w:sz w:val="15"/>
              </w:rPr>
              <w:t>39964</w:t>
            </w:r>
          </w:p>
        </w:tc>
        <w:tc>
          <w:tcPr>
            <w:tcW w:w="982" w:type="dxa"/>
          </w:tcPr>
          <w:p w:rsidR="00733687" w:rsidRPr="00314FA4" w:rsidRDefault="00733687" w:rsidP="00D74819">
            <w:pPr>
              <w:pStyle w:val="TableParagraph"/>
              <w:ind w:right="148"/>
              <w:rPr>
                <w:sz w:val="15"/>
              </w:rPr>
            </w:pPr>
            <w:r w:rsidRPr="00314FA4">
              <w:rPr>
                <w:sz w:val="15"/>
              </w:rPr>
              <w:t>41087</w:t>
            </w:r>
          </w:p>
        </w:tc>
        <w:tc>
          <w:tcPr>
            <w:tcW w:w="982" w:type="dxa"/>
          </w:tcPr>
          <w:p w:rsidR="00733687" w:rsidRPr="00314FA4" w:rsidRDefault="00733687" w:rsidP="00D74819">
            <w:pPr>
              <w:pStyle w:val="TableParagraph"/>
              <w:ind w:right="148"/>
              <w:rPr>
                <w:sz w:val="15"/>
              </w:rPr>
            </w:pPr>
            <w:r w:rsidRPr="00314FA4">
              <w:rPr>
                <w:sz w:val="15"/>
              </w:rPr>
              <w:t>42461</w:t>
            </w:r>
          </w:p>
        </w:tc>
      </w:tr>
      <w:tr w:rsidR="00D74819" w:rsidRPr="00314FA4" w:rsidTr="00D74819">
        <w:trPr>
          <w:trHeight w:val="262"/>
        </w:trPr>
        <w:tc>
          <w:tcPr>
            <w:tcW w:w="3911" w:type="dxa"/>
          </w:tcPr>
          <w:p w:rsidR="00733687" w:rsidRPr="00314FA4" w:rsidRDefault="00733687" w:rsidP="00D74819">
            <w:pPr>
              <w:pStyle w:val="TableParagraph"/>
              <w:ind w:left="30"/>
              <w:jc w:val="left"/>
              <w:rPr>
                <w:b/>
                <w:sz w:val="15"/>
              </w:rPr>
            </w:pPr>
            <w:r w:rsidRPr="00314FA4">
              <w:rPr>
                <w:b/>
                <w:w w:val="105"/>
                <w:sz w:val="15"/>
              </w:rPr>
              <w:t>Realni rast u %</w:t>
            </w:r>
          </w:p>
        </w:tc>
        <w:tc>
          <w:tcPr>
            <w:tcW w:w="982" w:type="dxa"/>
          </w:tcPr>
          <w:p w:rsidR="00733687" w:rsidRPr="00314FA4" w:rsidRDefault="00733687" w:rsidP="00D74819">
            <w:pPr>
              <w:pStyle w:val="TableParagraph"/>
              <w:ind w:right="147"/>
              <w:rPr>
                <w:sz w:val="15"/>
              </w:rPr>
            </w:pPr>
            <w:r w:rsidRPr="00314FA4">
              <w:rPr>
                <w:sz w:val="15"/>
              </w:rPr>
              <w:t>-2,3</w:t>
            </w:r>
          </w:p>
        </w:tc>
        <w:tc>
          <w:tcPr>
            <w:tcW w:w="982" w:type="dxa"/>
          </w:tcPr>
          <w:p w:rsidR="00733687" w:rsidRPr="00314FA4" w:rsidRDefault="00733687" w:rsidP="00D74819">
            <w:pPr>
              <w:pStyle w:val="TableParagraph"/>
              <w:ind w:right="147"/>
              <w:rPr>
                <w:sz w:val="15"/>
              </w:rPr>
            </w:pPr>
            <w:r w:rsidRPr="00314FA4">
              <w:rPr>
                <w:sz w:val="15"/>
              </w:rPr>
              <w:t>4,1</w:t>
            </w:r>
          </w:p>
        </w:tc>
        <w:tc>
          <w:tcPr>
            <w:tcW w:w="982" w:type="dxa"/>
          </w:tcPr>
          <w:p w:rsidR="00733687" w:rsidRPr="00314FA4" w:rsidRDefault="00733687" w:rsidP="00D74819">
            <w:pPr>
              <w:pStyle w:val="TableParagraph"/>
              <w:ind w:right="147"/>
              <w:rPr>
                <w:sz w:val="15"/>
              </w:rPr>
            </w:pPr>
            <w:r w:rsidRPr="00314FA4">
              <w:rPr>
                <w:w w:val="105"/>
                <w:sz w:val="15"/>
              </w:rPr>
              <w:t>1,8</w:t>
            </w:r>
          </w:p>
        </w:tc>
        <w:tc>
          <w:tcPr>
            <w:tcW w:w="983" w:type="dxa"/>
          </w:tcPr>
          <w:p w:rsidR="00733687" w:rsidRPr="00314FA4" w:rsidRDefault="00733687" w:rsidP="00D74819">
            <w:pPr>
              <w:pStyle w:val="TableParagraph"/>
              <w:ind w:right="148"/>
              <w:rPr>
                <w:sz w:val="15"/>
              </w:rPr>
            </w:pPr>
            <w:r w:rsidRPr="00314FA4">
              <w:rPr>
                <w:sz w:val="15"/>
              </w:rPr>
              <w:t>0,4</w:t>
            </w:r>
          </w:p>
        </w:tc>
        <w:tc>
          <w:tcPr>
            <w:tcW w:w="982" w:type="dxa"/>
          </w:tcPr>
          <w:p w:rsidR="00733687" w:rsidRPr="00314FA4" w:rsidRDefault="00733687" w:rsidP="00D74819">
            <w:pPr>
              <w:pStyle w:val="TableParagraph"/>
              <w:ind w:right="148"/>
              <w:rPr>
                <w:sz w:val="15"/>
              </w:rPr>
            </w:pPr>
            <w:r w:rsidRPr="00314FA4">
              <w:rPr>
                <w:sz w:val="15"/>
              </w:rPr>
              <w:t>0,6</w:t>
            </w:r>
          </w:p>
        </w:tc>
        <w:tc>
          <w:tcPr>
            <w:tcW w:w="982" w:type="dxa"/>
          </w:tcPr>
          <w:p w:rsidR="00733687" w:rsidRPr="00314FA4" w:rsidRDefault="00733687" w:rsidP="00D74819">
            <w:pPr>
              <w:pStyle w:val="TableParagraph"/>
              <w:ind w:right="148"/>
              <w:rPr>
                <w:sz w:val="15"/>
              </w:rPr>
            </w:pPr>
            <w:r w:rsidRPr="00314FA4">
              <w:rPr>
                <w:sz w:val="15"/>
              </w:rPr>
              <w:t>0,5</w:t>
            </w:r>
          </w:p>
        </w:tc>
      </w:tr>
      <w:tr w:rsidR="00D74819" w:rsidRPr="00314FA4" w:rsidTr="00D74819">
        <w:trPr>
          <w:trHeight w:val="262"/>
        </w:trPr>
        <w:tc>
          <w:tcPr>
            <w:tcW w:w="3911" w:type="dxa"/>
          </w:tcPr>
          <w:p w:rsidR="00733687" w:rsidRPr="00314FA4" w:rsidRDefault="00733687" w:rsidP="00D74819">
            <w:pPr>
              <w:pStyle w:val="TableParagraph"/>
              <w:ind w:left="30"/>
              <w:jc w:val="left"/>
              <w:rPr>
                <w:b/>
                <w:sz w:val="15"/>
              </w:rPr>
            </w:pPr>
            <w:r w:rsidRPr="00314FA4">
              <w:rPr>
                <w:b/>
                <w:w w:val="105"/>
                <w:sz w:val="15"/>
              </w:rPr>
              <w:t>Vladina potrošnja u mil KM</w:t>
            </w:r>
          </w:p>
        </w:tc>
        <w:tc>
          <w:tcPr>
            <w:tcW w:w="982" w:type="dxa"/>
          </w:tcPr>
          <w:p w:rsidR="00733687" w:rsidRPr="00314FA4" w:rsidRDefault="00733687" w:rsidP="00D74819">
            <w:pPr>
              <w:pStyle w:val="TableParagraph"/>
              <w:ind w:right="147"/>
              <w:rPr>
                <w:sz w:val="15"/>
              </w:rPr>
            </w:pPr>
            <w:r w:rsidRPr="00314FA4">
              <w:rPr>
                <w:sz w:val="15"/>
              </w:rPr>
              <w:t>7128</w:t>
            </w:r>
          </w:p>
        </w:tc>
        <w:tc>
          <w:tcPr>
            <w:tcW w:w="982" w:type="dxa"/>
          </w:tcPr>
          <w:p w:rsidR="00733687" w:rsidRPr="00314FA4" w:rsidRDefault="00733687" w:rsidP="00D74819">
            <w:pPr>
              <w:pStyle w:val="TableParagraph"/>
              <w:ind w:right="147"/>
              <w:rPr>
                <w:sz w:val="15"/>
              </w:rPr>
            </w:pPr>
            <w:r w:rsidRPr="00314FA4">
              <w:rPr>
                <w:sz w:val="15"/>
              </w:rPr>
              <w:t>7536</w:t>
            </w:r>
          </w:p>
        </w:tc>
        <w:tc>
          <w:tcPr>
            <w:tcW w:w="982" w:type="dxa"/>
          </w:tcPr>
          <w:p w:rsidR="00733687" w:rsidRPr="00314FA4" w:rsidRDefault="00733687" w:rsidP="00D74819">
            <w:pPr>
              <w:pStyle w:val="TableParagraph"/>
              <w:ind w:right="147"/>
              <w:rPr>
                <w:sz w:val="15"/>
              </w:rPr>
            </w:pPr>
            <w:r w:rsidRPr="00314FA4">
              <w:rPr>
                <w:sz w:val="15"/>
              </w:rPr>
              <w:t>8327</w:t>
            </w:r>
          </w:p>
        </w:tc>
        <w:tc>
          <w:tcPr>
            <w:tcW w:w="983" w:type="dxa"/>
          </w:tcPr>
          <w:p w:rsidR="00733687" w:rsidRPr="00314FA4" w:rsidRDefault="00733687" w:rsidP="00D74819">
            <w:pPr>
              <w:pStyle w:val="TableParagraph"/>
              <w:ind w:right="148"/>
              <w:rPr>
                <w:sz w:val="15"/>
              </w:rPr>
            </w:pPr>
            <w:r w:rsidRPr="00314FA4">
              <w:rPr>
                <w:sz w:val="15"/>
              </w:rPr>
              <w:t>8677</w:t>
            </w:r>
          </w:p>
        </w:tc>
        <w:tc>
          <w:tcPr>
            <w:tcW w:w="982" w:type="dxa"/>
          </w:tcPr>
          <w:p w:rsidR="00733687" w:rsidRPr="00314FA4" w:rsidRDefault="00733687" w:rsidP="00D74819">
            <w:pPr>
              <w:pStyle w:val="TableParagraph"/>
              <w:ind w:right="148"/>
              <w:rPr>
                <w:sz w:val="15"/>
              </w:rPr>
            </w:pPr>
            <w:r w:rsidRPr="00314FA4">
              <w:rPr>
                <w:sz w:val="15"/>
              </w:rPr>
              <w:t>8946</w:t>
            </w:r>
          </w:p>
        </w:tc>
        <w:tc>
          <w:tcPr>
            <w:tcW w:w="982" w:type="dxa"/>
          </w:tcPr>
          <w:p w:rsidR="00733687" w:rsidRPr="00314FA4" w:rsidRDefault="00733687" w:rsidP="00D74819">
            <w:pPr>
              <w:pStyle w:val="TableParagraph"/>
              <w:ind w:right="148"/>
              <w:rPr>
                <w:sz w:val="15"/>
              </w:rPr>
            </w:pPr>
            <w:r w:rsidRPr="00314FA4">
              <w:rPr>
                <w:sz w:val="15"/>
              </w:rPr>
              <w:t>9214</w:t>
            </w:r>
          </w:p>
        </w:tc>
      </w:tr>
      <w:tr w:rsidR="00D74819" w:rsidRPr="00314FA4" w:rsidTr="00D74819">
        <w:trPr>
          <w:trHeight w:val="263"/>
        </w:trPr>
        <w:tc>
          <w:tcPr>
            <w:tcW w:w="3911" w:type="dxa"/>
          </w:tcPr>
          <w:p w:rsidR="00733687" w:rsidRPr="00314FA4" w:rsidRDefault="00733687" w:rsidP="00D74819">
            <w:pPr>
              <w:pStyle w:val="TableParagraph"/>
              <w:spacing w:before="49"/>
              <w:ind w:left="30"/>
              <w:jc w:val="left"/>
              <w:rPr>
                <w:b/>
                <w:sz w:val="15"/>
              </w:rPr>
            </w:pPr>
            <w:r w:rsidRPr="00314FA4">
              <w:rPr>
                <w:b/>
                <w:w w:val="105"/>
                <w:sz w:val="15"/>
              </w:rPr>
              <w:t>Realni rast u %</w:t>
            </w:r>
          </w:p>
        </w:tc>
        <w:tc>
          <w:tcPr>
            <w:tcW w:w="982" w:type="dxa"/>
          </w:tcPr>
          <w:p w:rsidR="00733687" w:rsidRPr="00314FA4" w:rsidRDefault="00C93917" w:rsidP="00D74819">
            <w:pPr>
              <w:pStyle w:val="TableParagraph"/>
              <w:spacing w:before="49"/>
              <w:ind w:right="147"/>
              <w:rPr>
                <w:sz w:val="15"/>
              </w:rPr>
            </w:pPr>
            <w:r w:rsidRPr="00314FA4">
              <w:rPr>
                <w:sz w:val="15"/>
              </w:rPr>
              <w:t>1,4</w:t>
            </w:r>
          </w:p>
        </w:tc>
        <w:tc>
          <w:tcPr>
            <w:tcW w:w="982" w:type="dxa"/>
          </w:tcPr>
          <w:p w:rsidR="00733687" w:rsidRPr="00314FA4" w:rsidRDefault="00C93917" w:rsidP="00D74819">
            <w:pPr>
              <w:pStyle w:val="TableParagraph"/>
              <w:spacing w:before="49"/>
              <w:ind w:right="147"/>
              <w:rPr>
                <w:sz w:val="15"/>
              </w:rPr>
            </w:pPr>
            <w:r w:rsidRPr="00314FA4">
              <w:rPr>
                <w:sz w:val="15"/>
              </w:rPr>
              <w:t>3,1</w:t>
            </w:r>
          </w:p>
        </w:tc>
        <w:tc>
          <w:tcPr>
            <w:tcW w:w="982" w:type="dxa"/>
          </w:tcPr>
          <w:p w:rsidR="00733687" w:rsidRPr="00314FA4" w:rsidRDefault="00C93917" w:rsidP="00D74819">
            <w:pPr>
              <w:pStyle w:val="TableParagraph"/>
              <w:spacing w:before="49"/>
              <w:ind w:right="147"/>
              <w:rPr>
                <w:sz w:val="15"/>
              </w:rPr>
            </w:pPr>
            <w:r w:rsidRPr="00314FA4">
              <w:rPr>
                <w:sz w:val="15"/>
              </w:rPr>
              <w:t>1,8</w:t>
            </w:r>
          </w:p>
        </w:tc>
        <w:tc>
          <w:tcPr>
            <w:tcW w:w="983" w:type="dxa"/>
          </w:tcPr>
          <w:p w:rsidR="00733687" w:rsidRPr="00314FA4" w:rsidRDefault="00C93917" w:rsidP="00D74819">
            <w:pPr>
              <w:pStyle w:val="TableParagraph"/>
              <w:spacing w:before="49"/>
              <w:ind w:right="148"/>
              <w:rPr>
                <w:sz w:val="15"/>
              </w:rPr>
            </w:pPr>
            <w:r w:rsidRPr="00314FA4">
              <w:rPr>
                <w:w w:val="105"/>
                <w:sz w:val="15"/>
              </w:rPr>
              <w:t>0,4</w:t>
            </w:r>
          </w:p>
        </w:tc>
        <w:tc>
          <w:tcPr>
            <w:tcW w:w="982" w:type="dxa"/>
          </w:tcPr>
          <w:p w:rsidR="00733687" w:rsidRPr="00314FA4" w:rsidRDefault="00C93917" w:rsidP="00D74819">
            <w:pPr>
              <w:pStyle w:val="TableParagraph"/>
              <w:spacing w:before="49"/>
              <w:ind w:right="148"/>
              <w:rPr>
                <w:sz w:val="15"/>
              </w:rPr>
            </w:pPr>
            <w:r w:rsidRPr="00314FA4">
              <w:rPr>
                <w:sz w:val="15"/>
              </w:rPr>
              <w:t>0,6</w:t>
            </w:r>
          </w:p>
        </w:tc>
        <w:tc>
          <w:tcPr>
            <w:tcW w:w="982" w:type="dxa"/>
          </w:tcPr>
          <w:p w:rsidR="00733687" w:rsidRPr="00314FA4" w:rsidRDefault="00C93917" w:rsidP="00D74819">
            <w:pPr>
              <w:pStyle w:val="TableParagraph"/>
              <w:spacing w:before="49"/>
              <w:ind w:right="148"/>
              <w:rPr>
                <w:sz w:val="15"/>
              </w:rPr>
            </w:pPr>
            <w:r w:rsidRPr="00314FA4">
              <w:rPr>
                <w:sz w:val="15"/>
              </w:rPr>
              <w:t>0,5</w:t>
            </w:r>
          </w:p>
        </w:tc>
      </w:tr>
      <w:tr w:rsidR="00D74819" w:rsidRPr="00314FA4" w:rsidTr="00D74819">
        <w:trPr>
          <w:trHeight w:val="262"/>
        </w:trPr>
        <w:tc>
          <w:tcPr>
            <w:tcW w:w="3911" w:type="dxa"/>
          </w:tcPr>
          <w:p w:rsidR="00733687" w:rsidRPr="00314FA4" w:rsidRDefault="00733687" w:rsidP="00D74819">
            <w:pPr>
              <w:pStyle w:val="TableParagraph"/>
              <w:ind w:left="30"/>
              <w:jc w:val="left"/>
              <w:rPr>
                <w:b/>
                <w:sz w:val="15"/>
              </w:rPr>
            </w:pPr>
            <w:r w:rsidRPr="00314FA4">
              <w:rPr>
                <w:b/>
                <w:w w:val="105"/>
                <w:sz w:val="15"/>
              </w:rPr>
              <w:t>Privatna potrošnja u mil KM</w:t>
            </w:r>
          </w:p>
        </w:tc>
        <w:tc>
          <w:tcPr>
            <w:tcW w:w="982" w:type="dxa"/>
          </w:tcPr>
          <w:p w:rsidR="00733687" w:rsidRPr="00314FA4" w:rsidRDefault="00C93917" w:rsidP="00D74819">
            <w:pPr>
              <w:pStyle w:val="TableParagraph"/>
              <w:ind w:right="147"/>
              <w:rPr>
                <w:sz w:val="15"/>
              </w:rPr>
            </w:pPr>
            <w:r w:rsidRPr="00314FA4">
              <w:rPr>
                <w:sz w:val="15"/>
              </w:rPr>
              <w:t>25069</w:t>
            </w:r>
          </w:p>
        </w:tc>
        <w:tc>
          <w:tcPr>
            <w:tcW w:w="982" w:type="dxa"/>
          </w:tcPr>
          <w:p w:rsidR="00733687" w:rsidRPr="00314FA4" w:rsidRDefault="00C93917" w:rsidP="00D74819">
            <w:pPr>
              <w:pStyle w:val="TableParagraph"/>
              <w:ind w:right="147"/>
              <w:rPr>
                <w:sz w:val="15"/>
              </w:rPr>
            </w:pPr>
            <w:r w:rsidRPr="00314FA4">
              <w:rPr>
                <w:sz w:val="15"/>
              </w:rPr>
              <w:t>26806</w:t>
            </w:r>
          </w:p>
        </w:tc>
        <w:tc>
          <w:tcPr>
            <w:tcW w:w="982" w:type="dxa"/>
          </w:tcPr>
          <w:p w:rsidR="00733687" w:rsidRPr="00314FA4" w:rsidRDefault="00C93917" w:rsidP="00D74819">
            <w:pPr>
              <w:pStyle w:val="TableParagraph"/>
              <w:ind w:right="147"/>
              <w:rPr>
                <w:sz w:val="15"/>
              </w:rPr>
            </w:pPr>
            <w:r w:rsidRPr="00314FA4">
              <w:rPr>
                <w:sz w:val="15"/>
              </w:rPr>
              <w:t>29865</w:t>
            </w:r>
          </w:p>
        </w:tc>
        <w:tc>
          <w:tcPr>
            <w:tcW w:w="983" w:type="dxa"/>
          </w:tcPr>
          <w:p w:rsidR="00733687" w:rsidRPr="00314FA4" w:rsidRDefault="00C93917" w:rsidP="00D74819">
            <w:pPr>
              <w:pStyle w:val="TableParagraph"/>
              <w:ind w:right="148"/>
              <w:rPr>
                <w:sz w:val="15"/>
              </w:rPr>
            </w:pPr>
            <w:r w:rsidRPr="00314FA4">
              <w:rPr>
                <w:sz w:val="15"/>
              </w:rPr>
              <w:t>31287</w:t>
            </w:r>
          </w:p>
        </w:tc>
        <w:tc>
          <w:tcPr>
            <w:tcW w:w="982" w:type="dxa"/>
          </w:tcPr>
          <w:p w:rsidR="00733687" w:rsidRPr="00314FA4" w:rsidRDefault="00C93917" w:rsidP="00D74819">
            <w:pPr>
              <w:pStyle w:val="TableParagraph"/>
              <w:ind w:right="148"/>
              <w:rPr>
                <w:sz w:val="15"/>
              </w:rPr>
            </w:pPr>
            <w:r w:rsidRPr="00314FA4">
              <w:rPr>
                <w:sz w:val="15"/>
              </w:rPr>
              <w:t>32141</w:t>
            </w:r>
          </w:p>
        </w:tc>
        <w:tc>
          <w:tcPr>
            <w:tcW w:w="982" w:type="dxa"/>
          </w:tcPr>
          <w:p w:rsidR="00733687" w:rsidRPr="00314FA4" w:rsidRDefault="00C93917" w:rsidP="00D74819">
            <w:pPr>
              <w:pStyle w:val="TableParagraph"/>
              <w:ind w:right="148"/>
              <w:rPr>
                <w:sz w:val="15"/>
              </w:rPr>
            </w:pPr>
            <w:r w:rsidRPr="00314FA4">
              <w:rPr>
                <w:sz w:val="15"/>
              </w:rPr>
              <w:t>33247</w:t>
            </w:r>
          </w:p>
        </w:tc>
      </w:tr>
      <w:tr w:rsidR="00D74819" w:rsidRPr="00314FA4" w:rsidTr="00D74819">
        <w:trPr>
          <w:trHeight w:val="262"/>
        </w:trPr>
        <w:tc>
          <w:tcPr>
            <w:tcW w:w="3911" w:type="dxa"/>
          </w:tcPr>
          <w:p w:rsidR="00733687" w:rsidRPr="00314FA4" w:rsidRDefault="00733687" w:rsidP="00D74819">
            <w:pPr>
              <w:pStyle w:val="TableParagraph"/>
              <w:ind w:left="30"/>
              <w:jc w:val="left"/>
              <w:rPr>
                <w:b/>
                <w:sz w:val="15"/>
              </w:rPr>
            </w:pPr>
            <w:r w:rsidRPr="00314FA4">
              <w:rPr>
                <w:b/>
                <w:w w:val="105"/>
                <w:sz w:val="15"/>
              </w:rPr>
              <w:t>Realni rast u %</w:t>
            </w:r>
          </w:p>
        </w:tc>
        <w:tc>
          <w:tcPr>
            <w:tcW w:w="982" w:type="dxa"/>
          </w:tcPr>
          <w:p w:rsidR="00733687" w:rsidRPr="00314FA4" w:rsidRDefault="00C93917" w:rsidP="00D74819">
            <w:pPr>
              <w:pStyle w:val="TableParagraph"/>
              <w:ind w:right="147"/>
              <w:rPr>
                <w:sz w:val="15"/>
              </w:rPr>
            </w:pPr>
            <w:r w:rsidRPr="00314FA4">
              <w:rPr>
                <w:sz w:val="15"/>
              </w:rPr>
              <w:t>-3,2</w:t>
            </w:r>
          </w:p>
        </w:tc>
        <w:tc>
          <w:tcPr>
            <w:tcW w:w="982" w:type="dxa"/>
          </w:tcPr>
          <w:p w:rsidR="00733687" w:rsidRPr="00314FA4" w:rsidRDefault="00C93917" w:rsidP="00D74819">
            <w:pPr>
              <w:pStyle w:val="TableParagraph"/>
              <w:ind w:right="147"/>
              <w:rPr>
                <w:sz w:val="15"/>
              </w:rPr>
            </w:pPr>
            <w:r w:rsidRPr="00314FA4">
              <w:rPr>
                <w:sz w:val="15"/>
              </w:rPr>
              <w:t>4,6</w:t>
            </w:r>
          </w:p>
        </w:tc>
        <w:tc>
          <w:tcPr>
            <w:tcW w:w="982" w:type="dxa"/>
          </w:tcPr>
          <w:p w:rsidR="00733687" w:rsidRPr="00314FA4" w:rsidRDefault="00C93917" w:rsidP="00D74819">
            <w:pPr>
              <w:pStyle w:val="TableParagraph"/>
              <w:ind w:right="147"/>
              <w:rPr>
                <w:sz w:val="15"/>
              </w:rPr>
            </w:pPr>
            <w:r w:rsidRPr="00314FA4">
              <w:rPr>
                <w:w w:val="105"/>
                <w:sz w:val="15"/>
              </w:rPr>
              <w:t>0,8</w:t>
            </w:r>
          </w:p>
        </w:tc>
        <w:tc>
          <w:tcPr>
            <w:tcW w:w="983" w:type="dxa"/>
          </w:tcPr>
          <w:p w:rsidR="00733687" w:rsidRPr="00314FA4" w:rsidRDefault="00C93917" w:rsidP="00D74819">
            <w:pPr>
              <w:pStyle w:val="TableParagraph"/>
              <w:ind w:right="148"/>
              <w:rPr>
                <w:sz w:val="15"/>
              </w:rPr>
            </w:pPr>
            <w:r w:rsidRPr="00314FA4">
              <w:rPr>
                <w:sz w:val="15"/>
              </w:rPr>
              <w:t>0,3</w:t>
            </w:r>
          </w:p>
        </w:tc>
        <w:tc>
          <w:tcPr>
            <w:tcW w:w="982" w:type="dxa"/>
          </w:tcPr>
          <w:p w:rsidR="00733687" w:rsidRPr="00314FA4" w:rsidRDefault="00C93917" w:rsidP="00D74819">
            <w:pPr>
              <w:pStyle w:val="TableParagraph"/>
              <w:ind w:right="148"/>
              <w:rPr>
                <w:sz w:val="15"/>
              </w:rPr>
            </w:pPr>
            <w:r w:rsidRPr="00314FA4">
              <w:rPr>
                <w:sz w:val="15"/>
              </w:rPr>
              <w:t>0,4</w:t>
            </w:r>
          </w:p>
        </w:tc>
        <w:tc>
          <w:tcPr>
            <w:tcW w:w="982" w:type="dxa"/>
          </w:tcPr>
          <w:p w:rsidR="00733687" w:rsidRPr="00314FA4" w:rsidRDefault="00C93917" w:rsidP="00D74819">
            <w:pPr>
              <w:pStyle w:val="TableParagraph"/>
              <w:ind w:right="148"/>
              <w:rPr>
                <w:sz w:val="15"/>
              </w:rPr>
            </w:pPr>
            <w:r w:rsidRPr="00314FA4">
              <w:rPr>
                <w:sz w:val="15"/>
              </w:rPr>
              <w:t>1,2</w:t>
            </w:r>
          </w:p>
        </w:tc>
      </w:tr>
      <w:tr w:rsidR="00D74819" w:rsidRPr="00314FA4" w:rsidTr="00D74819">
        <w:trPr>
          <w:trHeight w:val="262"/>
        </w:trPr>
        <w:tc>
          <w:tcPr>
            <w:tcW w:w="3911" w:type="dxa"/>
          </w:tcPr>
          <w:p w:rsidR="00733687" w:rsidRPr="00314FA4" w:rsidRDefault="00733687" w:rsidP="00D74819">
            <w:pPr>
              <w:pStyle w:val="TableParagraph"/>
              <w:ind w:left="30"/>
              <w:jc w:val="left"/>
              <w:rPr>
                <w:b/>
                <w:sz w:val="15"/>
              </w:rPr>
            </w:pPr>
            <w:r w:rsidRPr="00314FA4">
              <w:rPr>
                <w:b/>
                <w:w w:val="105"/>
                <w:sz w:val="15"/>
              </w:rPr>
              <w:t>Investicije (bruto) u stalna sredstva u mil KM</w:t>
            </w:r>
          </w:p>
        </w:tc>
        <w:tc>
          <w:tcPr>
            <w:tcW w:w="982" w:type="dxa"/>
          </w:tcPr>
          <w:p w:rsidR="00733687" w:rsidRPr="00314FA4" w:rsidRDefault="00C93917" w:rsidP="00D74819">
            <w:pPr>
              <w:pStyle w:val="TableParagraph"/>
              <w:ind w:right="147"/>
              <w:rPr>
                <w:sz w:val="15"/>
              </w:rPr>
            </w:pPr>
            <w:r w:rsidRPr="00314FA4">
              <w:rPr>
                <w:sz w:val="15"/>
              </w:rPr>
              <w:t>7679</w:t>
            </w:r>
          </w:p>
        </w:tc>
        <w:tc>
          <w:tcPr>
            <w:tcW w:w="982" w:type="dxa"/>
          </w:tcPr>
          <w:p w:rsidR="00733687" w:rsidRPr="00314FA4" w:rsidRDefault="00C93917" w:rsidP="00D74819">
            <w:pPr>
              <w:pStyle w:val="TableParagraph"/>
              <w:ind w:right="147"/>
              <w:rPr>
                <w:sz w:val="15"/>
              </w:rPr>
            </w:pPr>
            <w:r w:rsidRPr="00314FA4">
              <w:rPr>
                <w:sz w:val="15"/>
              </w:rPr>
              <w:t>8367</w:t>
            </w:r>
          </w:p>
        </w:tc>
        <w:tc>
          <w:tcPr>
            <w:tcW w:w="982" w:type="dxa"/>
          </w:tcPr>
          <w:p w:rsidR="00733687" w:rsidRPr="00314FA4" w:rsidRDefault="00C93917" w:rsidP="00D74819">
            <w:pPr>
              <w:pStyle w:val="TableParagraph"/>
              <w:ind w:right="147"/>
              <w:rPr>
                <w:sz w:val="15"/>
              </w:rPr>
            </w:pPr>
            <w:r w:rsidRPr="00314FA4">
              <w:rPr>
                <w:sz w:val="15"/>
              </w:rPr>
              <w:t>9180</w:t>
            </w:r>
          </w:p>
        </w:tc>
        <w:tc>
          <w:tcPr>
            <w:tcW w:w="983" w:type="dxa"/>
          </w:tcPr>
          <w:p w:rsidR="00733687" w:rsidRPr="00314FA4" w:rsidRDefault="00C93917" w:rsidP="00D74819">
            <w:pPr>
              <w:pStyle w:val="TableParagraph"/>
              <w:ind w:right="148"/>
              <w:rPr>
                <w:sz w:val="15"/>
              </w:rPr>
            </w:pPr>
            <w:r w:rsidRPr="00314FA4">
              <w:rPr>
                <w:sz w:val="15"/>
              </w:rPr>
              <w:t>9609</w:t>
            </w:r>
          </w:p>
        </w:tc>
        <w:tc>
          <w:tcPr>
            <w:tcW w:w="982" w:type="dxa"/>
          </w:tcPr>
          <w:p w:rsidR="00733687" w:rsidRPr="00314FA4" w:rsidRDefault="00C93917" w:rsidP="00D74819">
            <w:pPr>
              <w:pStyle w:val="TableParagraph"/>
              <w:ind w:right="148"/>
              <w:rPr>
                <w:sz w:val="15"/>
              </w:rPr>
            </w:pPr>
            <w:r w:rsidRPr="00314FA4">
              <w:rPr>
                <w:sz w:val="15"/>
              </w:rPr>
              <w:t>10139</w:t>
            </w:r>
          </w:p>
        </w:tc>
        <w:tc>
          <w:tcPr>
            <w:tcW w:w="982" w:type="dxa"/>
          </w:tcPr>
          <w:p w:rsidR="00733687" w:rsidRPr="00314FA4" w:rsidRDefault="00C93917" w:rsidP="00D74819">
            <w:pPr>
              <w:pStyle w:val="TableParagraph"/>
              <w:ind w:right="148"/>
              <w:rPr>
                <w:sz w:val="15"/>
              </w:rPr>
            </w:pPr>
            <w:r w:rsidRPr="00314FA4">
              <w:rPr>
                <w:sz w:val="15"/>
              </w:rPr>
              <w:t>10916</w:t>
            </w:r>
          </w:p>
        </w:tc>
      </w:tr>
      <w:tr w:rsidR="00D74819" w:rsidRPr="00314FA4" w:rsidTr="00D74819">
        <w:trPr>
          <w:trHeight w:val="262"/>
        </w:trPr>
        <w:tc>
          <w:tcPr>
            <w:tcW w:w="3911" w:type="dxa"/>
          </w:tcPr>
          <w:p w:rsidR="00733687" w:rsidRPr="00314FA4" w:rsidRDefault="00733687" w:rsidP="00D74819">
            <w:pPr>
              <w:pStyle w:val="TableParagraph"/>
              <w:ind w:left="30"/>
              <w:jc w:val="left"/>
              <w:rPr>
                <w:b/>
                <w:sz w:val="15"/>
              </w:rPr>
            </w:pPr>
            <w:r w:rsidRPr="00314FA4">
              <w:rPr>
                <w:b/>
                <w:w w:val="105"/>
                <w:sz w:val="15"/>
              </w:rPr>
              <w:t>Realni rast u %</w:t>
            </w:r>
          </w:p>
        </w:tc>
        <w:tc>
          <w:tcPr>
            <w:tcW w:w="982" w:type="dxa"/>
          </w:tcPr>
          <w:p w:rsidR="00733687" w:rsidRPr="00314FA4" w:rsidRDefault="00C93917" w:rsidP="00D74819">
            <w:pPr>
              <w:pStyle w:val="TableParagraph"/>
              <w:ind w:right="147"/>
              <w:rPr>
                <w:sz w:val="15"/>
              </w:rPr>
            </w:pPr>
            <w:r w:rsidRPr="00314FA4">
              <w:rPr>
                <w:sz w:val="15"/>
              </w:rPr>
              <w:t>-4,2</w:t>
            </w:r>
          </w:p>
        </w:tc>
        <w:tc>
          <w:tcPr>
            <w:tcW w:w="982" w:type="dxa"/>
          </w:tcPr>
          <w:p w:rsidR="00733687" w:rsidRPr="00314FA4" w:rsidRDefault="00C93917" w:rsidP="00D74819">
            <w:pPr>
              <w:pStyle w:val="TableParagraph"/>
              <w:ind w:right="147"/>
              <w:rPr>
                <w:sz w:val="15"/>
              </w:rPr>
            </w:pPr>
            <w:r w:rsidRPr="00314FA4">
              <w:rPr>
                <w:sz w:val="15"/>
              </w:rPr>
              <w:t>4,8</w:t>
            </w:r>
          </w:p>
        </w:tc>
        <w:tc>
          <w:tcPr>
            <w:tcW w:w="982" w:type="dxa"/>
          </w:tcPr>
          <w:p w:rsidR="00733687" w:rsidRPr="00314FA4" w:rsidRDefault="00C93917" w:rsidP="00D74819">
            <w:pPr>
              <w:pStyle w:val="TableParagraph"/>
              <w:ind w:right="147"/>
              <w:rPr>
                <w:sz w:val="15"/>
              </w:rPr>
            </w:pPr>
            <w:r w:rsidRPr="00314FA4">
              <w:rPr>
                <w:w w:val="105"/>
                <w:sz w:val="15"/>
              </w:rPr>
              <w:t>2,5</w:t>
            </w:r>
          </w:p>
        </w:tc>
        <w:tc>
          <w:tcPr>
            <w:tcW w:w="983" w:type="dxa"/>
          </w:tcPr>
          <w:p w:rsidR="00733687" w:rsidRPr="00314FA4" w:rsidRDefault="00C93917" w:rsidP="00D74819">
            <w:pPr>
              <w:pStyle w:val="TableParagraph"/>
              <w:ind w:right="148"/>
              <w:rPr>
                <w:sz w:val="15"/>
              </w:rPr>
            </w:pPr>
            <w:r w:rsidRPr="00314FA4">
              <w:rPr>
                <w:sz w:val="15"/>
              </w:rPr>
              <w:t>2,8</w:t>
            </w:r>
          </w:p>
        </w:tc>
        <w:tc>
          <w:tcPr>
            <w:tcW w:w="982" w:type="dxa"/>
          </w:tcPr>
          <w:p w:rsidR="00733687" w:rsidRPr="00314FA4" w:rsidRDefault="00C93917" w:rsidP="00D74819">
            <w:pPr>
              <w:pStyle w:val="TableParagraph"/>
              <w:ind w:right="148"/>
              <w:rPr>
                <w:sz w:val="15"/>
              </w:rPr>
            </w:pPr>
            <w:r w:rsidRPr="00314FA4">
              <w:rPr>
                <w:sz w:val="15"/>
              </w:rPr>
              <w:t>3,6</w:t>
            </w:r>
          </w:p>
        </w:tc>
        <w:tc>
          <w:tcPr>
            <w:tcW w:w="982" w:type="dxa"/>
          </w:tcPr>
          <w:p w:rsidR="00733687" w:rsidRPr="00314FA4" w:rsidRDefault="00C93917" w:rsidP="00D74819">
            <w:pPr>
              <w:pStyle w:val="TableParagraph"/>
              <w:ind w:right="148"/>
              <w:rPr>
                <w:sz w:val="15"/>
              </w:rPr>
            </w:pPr>
            <w:r w:rsidRPr="00314FA4">
              <w:rPr>
                <w:sz w:val="15"/>
              </w:rPr>
              <w:t>5,7</w:t>
            </w:r>
          </w:p>
        </w:tc>
      </w:tr>
      <w:tr w:rsidR="00D74819" w:rsidRPr="00314FA4" w:rsidTr="00D74819">
        <w:trPr>
          <w:trHeight w:val="262"/>
        </w:trPr>
        <w:tc>
          <w:tcPr>
            <w:tcW w:w="3911" w:type="dxa"/>
          </w:tcPr>
          <w:p w:rsidR="00733687" w:rsidRPr="00314FA4" w:rsidRDefault="00733687" w:rsidP="00D74819">
            <w:pPr>
              <w:pStyle w:val="TableParagraph"/>
              <w:ind w:left="30"/>
              <w:jc w:val="left"/>
              <w:rPr>
                <w:b/>
                <w:sz w:val="15"/>
              </w:rPr>
            </w:pPr>
            <w:r w:rsidRPr="00314FA4">
              <w:rPr>
                <w:b/>
                <w:w w:val="105"/>
                <w:sz w:val="15"/>
              </w:rPr>
              <w:t>Vladine investicije u mil KM</w:t>
            </w:r>
          </w:p>
        </w:tc>
        <w:tc>
          <w:tcPr>
            <w:tcW w:w="982" w:type="dxa"/>
          </w:tcPr>
          <w:p w:rsidR="00733687" w:rsidRPr="00314FA4" w:rsidRDefault="00C93917" w:rsidP="00D74819">
            <w:pPr>
              <w:pStyle w:val="TableParagraph"/>
              <w:ind w:right="148"/>
              <w:rPr>
                <w:sz w:val="15"/>
              </w:rPr>
            </w:pPr>
            <w:r w:rsidRPr="00314FA4">
              <w:rPr>
                <w:sz w:val="15"/>
              </w:rPr>
              <w:t>1674</w:t>
            </w:r>
          </w:p>
        </w:tc>
        <w:tc>
          <w:tcPr>
            <w:tcW w:w="982" w:type="dxa"/>
          </w:tcPr>
          <w:p w:rsidR="00733687" w:rsidRPr="00314FA4" w:rsidRDefault="00C93917" w:rsidP="00D74819">
            <w:pPr>
              <w:pStyle w:val="TableParagraph"/>
              <w:ind w:right="148"/>
              <w:rPr>
                <w:sz w:val="15"/>
              </w:rPr>
            </w:pPr>
            <w:r w:rsidRPr="00314FA4">
              <w:rPr>
                <w:sz w:val="15"/>
              </w:rPr>
              <w:t>1193</w:t>
            </w:r>
          </w:p>
        </w:tc>
        <w:tc>
          <w:tcPr>
            <w:tcW w:w="982" w:type="dxa"/>
          </w:tcPr>
          <w:p w:rsidR="00733687" w:rsidRPr="00314FA4" w:rsidRDefault="00C93917" w:rsidP="00D74819">
            <w:pPr>
              <w:pStyle w:val="TableParagraph"/>
              <w:ind w:right="147"/>
              <w:rPr>
                <w:sz w:val="15"/>
              </w:rPr>
            </w:pPr>
            <w:r w:rsidRPr="00314FA4">
              <w:rPr>
                <w:sz w:val="15"/>
              </w:rPr>
              <w:t>1431</w:t>
            </w:r>
          </w:p>
        </w:tc>
        <w:tc>
          <w:tcPr>
            <w:tcW w:w="983" w:type="dxa"/>
          </w:tcPr>
          <w:p w:rsidR="00733687" w:rsidRPr="00314FA4" w:rsidRDefault="00C93917" w:rsidP="00D74819">
            <w:pPr>
              <w:pStyle w:val="TableParagraph"/>
              <w:ind w:right="148"/>
              <w:rPr>
                <w:sz w:val="15"/>
              </w:rPr>
            </w:pPr>
            <w:r w:rsidRPr="00314FA4">
              <w:rPr>
                <w:sz w:val="15"/>
              </w:rPr>
              <w:t>1512</w:t>
            </w:r>
          </w:p>
        </w:tc>
        <w:tc>
          <w:tcPr>
            <w:tcW w:w="982" w:type="dxa"/>
          </w:tcPr>
          <w:p w:rsidR="00733687" w:rsidRPr="00314FA4" w:rsidRDefault="00C93917" w:rsidP="00D74819">
            <w:pPr>
              <w:pStyle w:val="TableParagraph"/>
              <w:ind w:right="148"/>
              <w:rPr>
                <w:sz w:val="15"/>
              </w:rPr>
            </w:pPr>
            <w:r w:rsidRPr="00314FA4">
              <w:rPr>
                <w:sz w:val="15"/>
              </w:rPr>
              <w:t>1678</w:t>
            </w:r>
          </w:p>
        </w:tc>
        <w:tc>
          <w:tcPr>
            <w:tcW w:w="982" w:type="dxa"/>
          </w:tcPr>
          <w:p w:rsidR="00733687" w:rsidRPr="00314FA4" w:rsidRDefault="00C93917" w:rsidP="00D74819">
            <w:pPr>
              <w:pStyle w:val="TableParagraph"/>
              <w:ind w:right="148"/>
              <w:rPr>
                <w:sz w:val="15"/>
              </w:rPr>
            </w:pPr>
            <w:r w:rsidRPr="00314FA4">
              <w:rPr>
                <w:sz w:val="15"/>
              </w:rPr>
              <w:t>1846</w:t>
            </w:r>
          </w:p>
        </w:tc>
      </w:tr>
      <w:tr w:rsidR="00D74819" w:rsidRPr="00314FA4" w:rsidTr="00D74819">
        <w:trPr>
          <w:trHeight w:val="262"/>
        </w:trPr>
        <w:tc>
          <w:tcPr>
            <w:tcW w:w="3911" w:type="dxa"/>
          </w:tcPr>
          <w:p w:rsidR="00733687" w:rsidRPr="00314FA4" w:rsidRDefault="00733687" w:rsidP="00D74819">
            <w:pPr>
              <w:pStyle w:val="TableParagraph"/>
              <w:ind w:left="30"/>
              <w:jc w:val="left"/>
              <w:rPr>
                <w:b/>
                <w:sz w:val="15"/>
              </w:rPr>
            </w:pPr>
            <w:r w:rsidRPr="00314FA4">
              <w:rPr>
                <w:b/>
                <w:w w:val="105"/>
                <w:sz w:val="15"/>
              </w:rPr>
              <w:t>Realni rast u %</w:t>
            </w:r>
          </w:p>
        </w:tc>
        <w:tc>
          <w:tcPr>
            <w:tcW w:w="982" w:type="dxa"/>
          </w:tcPr>
          <w:p w:rsidR="00733687" w:rsidRPr="00314FA4" w:rsidRDefault="00C93917" w:rsidP="00D74819">
            <w:pPr>
              <w:pStyle w:val="TableParagraph"/>
              <w:ind w:right="147"/>
              <w:rPr>
                <w:sz w:val="15"/>
              </w:rPr>
            </w:pPr>
            <w:r w:rsidRPr="00314FA4">
              <w:rPr>
                <w:sz w:val="15"/>
              </w:rPr>
              <w:t>82,7</w:t>
            </w:r>
          </w:p>
        </w:tc>
        <w:tc>
          <w:tcPr>
            <w:tcW w:w="982" w:type="dxa"/>
          </w:tcPr>
          <w:p w:rsidR="00733687" w:rsidRPr="00314FA4" w:rsidRDefault="00C93917" w:rsidP="00D74819">
            <w:pPr>
              <w:pStyle w:val="TableParagraph"/>
              <w:ind w:right="147"/>
              <w:rPr>
                <w:sz w:val="15"/>
              </w:rPr>
            </w:pPr>
            <w:r w:rsidRPr="00314FA4">
              <w:rPr>
                <w:sz w:val="15"/>
              </w:rPr>
              <w:t>-31,5</w:t>
            </w:r>
          </w:p>
        </w:tc>
        <w:tc>
          <w:tcPr>
            <w:tcW w:w="982" w:type="dxa"/>
          </w:tcPr>
          <w:p w:rsidR="00733687" w:rsidRPr="00314FA4" w:rsidRDefault="00C93917" w:rsidP="00D74819">
            <w:pPr>
              <w:pStyle w:val="TableParagraph"/>
              <w:ind w:right="147"/>
              <w:rPr>
                <w:sz w:val="15"/>
              </w:rPr>
            </w:pPr>
            <w:r w:rsidRPr="00314FA4">
              <w:rPr>
                <w:w w:val="105"/>
                <w:sz w:val="15"/>
              </w:rPr>
              <w:t>14,9</w:t>
            </w:r>
          </w:p>
        </w:tc>
        <w:tc>
          <w:tcPr>
            <w:tcW w:w="983" w:type="dxa"/>
          </w:tcPr>
          <w:p w:rsidR="00733687" w:rsidRPr="00314FA4" w:rsidRDefault="00C93917" w:rsidP="00D74819">
            <w:pPr>
              <w:pStyle w:val="TableParagraph"/>
              <w:ind w:right="148"/>
              <w:rPr>
                <w:sz w:val="15"/>
              </w:rPr>
            </w:pPr>
            <w:r w:rsidRPr="00314FA4">
              <w:rPr>
                <w:sz w:val="15"/>
              </w:rPr>
              <w:t>3,5</w:t>
            </w:r>
          </w:p>
        </w:tc>
        <w:tc>
          <w:tcPr>
            <w:tcW w:w="982" w:type="dxa"/>
          </w:tcPr>
          <w:p w:rsidR="00733687" w:rsidRPr="00314FA4" w:rsidRDefault="00C93917" w:rsidP="00D74819">
            <w:pPr>
              <w:pStyle w:val="TableParagraph"/>
              <w:ind w:right="148"/>
              <w:rPr>
                <w:sz w:val="15"/>
              </w:rPr>
            </w:pPr>
            <w:r w:rsidRPr="00314FA4">
              <w:rPr>
                <w:sz w:val="15"/>
              </w:rPr>
              <w:t>7,8</w:t>
            </w:r>
          </w:p>
        </w:tc>
        <w:tc>
          <w:tcPr>
            <w:tcW w:w="982" w:type="dxa"/>
          </w:tcPr>
          <w:p w:rsidR="00733687" w:rsidRPr="00314FA4" w:rsidRDefault="00C93917" w:rsidP="00D74819">
            <w:pPr>
              <w:pStyle w:val="TableParagraph"/>
              <w:ind w:right="148"/>
              <w:rPr>
                <w:sz w:val="15"/>
              </w:rPr>
            </w:pPr>
            <w:r w:rsidRPr="00314FA4">
              <w:rPr>
                <w:sz w:val="15"/>
              </w:rPr>
              <w:t>6,8</w:t>
            </w:r>
          </w:p>
        </w:tc>
      </w:tr>
      <w:tr w:rsidR="00D74819" w:rsidRPr="00314FA4" w:rsidTr="00D74819">
        <w:trPr>
          <w:trHeight w:val="262"/>
        </w:trPr>
        <w:tc>
          <w:tcPr>
            <w:tcW w:w="3911" w:type="dxa"/>
          </w:tcPr>
          <w:p w:rsidR="00733687" w:rsidRPr="00314FA4" w:rsidRDefault="00733687" w:rsidP="00D74819">
            <w:pPr>
              <w:pStyle w:val="TableParagraph"/>
              <w:ind w:left="30"/>
              <w:jc w:val="left"/>
              <w:rPr>
                <w:b/>
                <w:sz w:val="15"/>
              </w:rPr>
            </w:pPr>
            <w:r w:rsidRPr="00314FA4">
              <w:rPr>
                <w:b/>
                <w:w w:val="105"/>
                <w:sz w:val="15"/>
              </w:rPr>
              <w:lastRenderedPageBreak/>
              <w:t>Privatne investicije u mil KM</w:t>
            </w:r>
          </w:p>
        </w:tc>
        <w:tc>
          <w:tcPr>
            <w:tcW w:w="982" w:type="dxa"/>
          </w:tcPr>
          <w:p w:rsidR="00733687" w:rsidRPr="00314FA4" w:rsidRDefault="00C93917" w:rsidP="00D74819">
            <w:pPr>
              <w:pStyle w:val="TableParagraph"/>
              <w:ind w:right="147"/>
              <w:rPr>
                <w:sz w:val="15"/>
              </w:rPr>
            </w:pPr>
            <w:r w:rsidRPr="00314FA4">
              <w:rPr>
                <w:sz w:val="15"/>
              </w:rPr>
              <w:t>6005</w:t>
            </w:r>
          </w:p>
        </w:tc>
        <w:tc>
          <w:tcPr>
            <w:tcW w:w="982" w:type="dxa"/>
          </w:tcPr>
          <w:p w:rsidR="00733687" w:rsidRPr="00314FA4" w:rsidRDefault="00C93917" w:rsidP="00D74819">
            <w:pPr>
              <w:pStyle w:val="TableParagraph"/>
              <w:ind w:right="147"/>
              <w:rPr>
                <w:sz w:val="15"/>
              </w:rPr>
            </w:pPr>
            <w:r w:rsidRPr="00314FA4">
              <w:rPr>
                <w:sz w:val="15"/>
              </w:rPr>
              <w:t>7174</w:t>
            </w:r>
          </w:p>
        </w:tc>
        <w:tc>
          <w:tcPr>
            <w:tcW w:w="982" w:type="dxa"/>
          </w:tcPr>
          <w:p w:rsidR="00733687" w:rsidRPr="00314FA4" w:rsidRDefault="00C93917" w:rsidP="00D74819">
            <w:pPr>
              <w:pStyle w:val="TableParagraph"/>
              <w:ind w:right="147"/>
              <w:rPr>
                <w:sz w:val="15"/>
              </w:rPr>
            </w:pPr>
            <w:r w:rsidRPr="00314FA4">
              <w:rPr>
                <w:sz w:val="15"/>
              </w:rPr>
              <w:t>7748</w:t>
            </w:r>
          </w:p>
        </w:tc>
        <w:tc>
          <w:tcPr>
            <w:tcW w:w="983" w:type="dxa"/>
          </w:tcPr>
          <w:p w:rsidR="00733687" w:rsidRPr="00314FA4" w:rsidRDefault="00C93917" w:rsidP="00D74819">
            <w:pPr>
              <w:pStyle w:val="TableParagraph"/>
              <w:ind w:right="148"/>
              <w:rPr>
                <w:sz w:val="15"/>
              </w:rPr>
            </w:pPr>
            <w:r w:rsidRPr="00314FA4">
              <w:rPr>
                <w:sz w:val="15"/>
              </w:rPr>
              <w:t>8097</w:t>
            </w:r>
          </w:p>
        </w:tc>
        <w:tc>
          <w:tcPr>
            <w:tcW w:w="982" w:type="dxa"/>
          </w:tcPr>
          <w:p w:rsidR="00733687" w:rsidRPr="00314FA4" w:rsidRDefault="00C93917" w:rsidP="00D74819">
            <w:pPr>
              <w:pStyle w:val="TableParagraph"/>
              <w:ind w:right="148"/>
              <w:rPr>
                <w:sz w:val="15"/>
              </w:rPr>
            </w:pPr>
            <w:r w:rsidRPr="00314FA4">
              <w:rPr>
                <w:sz w:val="15"/>
              </w:rPr>
              <w:t>8462</w:t>
            </w:r>
          </w:p>
        </w:tc>
        <w:tc>
          <w:tcPr>
            <w:tcW w:w="982" w:type="dxa"/>
          </w:tcPr>
          <w:p w:rsidR="00733687" w:rsidRPr="00314FA4" w:rsidRDefault="00C93917" w:rsidP="00D74819">
            <w:pPr>
              <w:pStyle w:val="TableParagraph"/>
              <w:ind w:right="148"/>
              <w:rPr>
                <w:sz w:val="15"/>
              </w:rPr>
            </w:pPr>
            <w:r w:rsidRPr="00314FA4">
              <w:rPr>
                <w:sz w:val="15"/>
              </w:rPr>
              <w:t>9071</w:t>
            </w:r>
          </w:p>
        </w:tc>
      </w:tr>
      <w:tr w:rsidR="00D74819" w:rsidRPr="00314FA4" w:rsidTr="00D74819">
        <w:trPr>
          <w:trHeight w:val="262"/>
        </w:trPr>
        <w:tc>
          <w:tcPr>
            <w:tcW w:w="3911" w:type="dxa"/>
          </w:tcPr>
          <w:p w:rsidR="00733687" w:rsidRPr="00314FA4" w:rsidRDefault="00733687" w:rsidP="00D74819">
            <w:pPr>
              <w:pStyle w:val="TableParagraph"/>
              <w:ind w:left="30"/>
              <w:jc w:val="left"/>
              <w:rPr>
                <w:b/>
                <w:sz w:val="15"/>
              </w:rPr>
            </w:pPr>
            <w:r w:rsidRPr="00314FA4">
              <w:rPr>
                <w:b/>
                <w:w w:val="105"/>
                <w:sz w:val="15"/>
              </w:rPr>
              <w:t>Realni rast u %</w:t>
            </w:r>
          </w:p>
        </w:tc>
        <w:tc>
          <w:tcPr>
            <w:tcW w:w="982" w:type="dxa"/>
          </w:tcPr>
          <w:p w:rsidR="00733687" w:rsidRPr="00314FA4" w:rsidRDefault="00C93917" w:rsidP="00D74819">
            <w:pPr>
              <w:pStyle w:val="TableParagraph"/>
              <w:ind w:right="147"/>
              <w:rPr>
                <w:sz w:val="15"/>
              </w:rPr>
            </w:pPr>
            <w:r w:rsidRPr="00314FA4">
              <w:rPr>
                <w:sz w:val="15"/>
              </w:rPr>
              <w:t>-15,4</w:t>
            </w:r>
          </w:p>
        </w:tc>
        <w:tc>
          <w:tcPr>
            <w:tcW w:w="982" w:type="dxa"/>
          </w:tcPr>
          <w:p w:rsidR="00733687" w:rsidRPr="00314FA4" w:rsidRDefault="00C93917" w:rsidP="00D74819">
            <w:pPr>
              <w:pStyle w:val="TableParagraph"/>
              <w:ind w:right="147"/>
              <w:rPr>
                <w:sz w:val="15"/>
              </w:rPr>
            </w:pPr>
            <w:r w:rsidRPr="00314FA4">
              <w:rPr>
                <w:sz w:val="15"/>
              </w:rPr>
              <w:t>14,9</w:t>
            </w:r>
          </w:p>
        </w:tc>
        <w:tc>
          <w:tcPr>
            <w:tcW w:w="982" w:type="dxa"/>
          </w:tcPr>
          <w:p w:rsidR="00733687" w:rsidRPr="00314FA4" w:rsidRDefault="00C93917" w:rsidP="00D74819">
            <w:pPr>
              <w:pStyle w:val="TableParagraph"/>
              <w:ind w:right="147"/>
              <w:rPr>
                <w:sz w:val="15"/>
              </w:rPr>
            </w:pPr>
            <w:r w:rsidRPr="00314FA4">
              <w:rPr>
                <w:w w:val="105"/>
                <w:sz w:val="15"/>
              </w:rPr>
              <w:t>0,5</w:t>
            </w:r>
          </w:p>
        </w:tc>
        <w:tc>
          <w:tcPr>
            <w:tcW w:w="983" w:type="dxa"/>
          </w:tcPr>
          <w:p w:rsidR="00733687" w:rsidRPr="00314FA4" w:rsidRDefault="00C93917" w:rsidP="00D74819">
            <w:pPr>
              <w:pStyle w:val="TableParagraph"/>
              <w:ind w:right="148"/>
              <w:rPr>
                <w:sz w:val="15"/>
              </w:rPr>
            </w:pPr>
            <w:r w:rsidRPr="00314FA4">
              <w:rPr>
                <w:sz w:val="15"/>
              </w:rPr>
              <w:t>2,7</w:t>
            </w:r>
          </w:p>
        </w:tc>
        <w:tc>
          <w:tcPr>
            <w:tcW w:w="982" w:type="dxa"/>
          </w:tcPr>
          <w:p w:rsidR="00733687" w:rsidRPr="00314FA4" w:rsidRDefault="00C93917" w:rsidP="00D74819">
            <w:pPr>
              <w:pStyle w:val="TableParagraph"/>
              <w:ind w:right="148"/>
              <w:rPr>
                <w:sz w:val="15"/>
              </w:rPr>
            </w:pPr>
            <w:r w:rsidRPr="00314FA4">
              <w:rPr>
                <w:sz w:val="15"/>
              </w:rPr>
              <w:t>2,9</w:t>
            </w:r>
          </w:p>
        </w:tc>
        <w:tc>
          <w:tcPr>
            <w:tcW w:w="982" w:type="dxa"/>
          </w:tcPr>
          <w:p w:rsidR="00733687" w:rsidRPr="00314FA4" w:rsidRDefault="00C93917" w:rsidP="00D74819">
            <w:pPr>
              <w:pStyle w:val="TableParagraph"/>
              <w:ind w:right="148"/>
              <w:rPr>
                <w:sz w:val="15"/>
              </w:rPr>
            </w:pPr>
            <w:r w:rsidRPr="00314FA4">
              <w:rPr>
                <w:sz w:val="15"/>
              </w:rPr>
              <w:t>5,5</w:t>
            </w:r>
          </w:p>
        </w:tc>
      </w:tr>
      <w:tr w:rsidR="00D74819" w:rsidRPr="00314FA4" w:rsidTr="00D74819">
        <w:trPr>
          <w:trHeight w:val="262"/>
        </w:trPr>
        <w:tc>
          <w:tcPr>
            <w:tcW w:w="3911" w:type="dxa"/>
          </w:tcPr>
          <w:p w:rsidR="00733687" w:rsidRPr="00314FA4" w:rsidRDefault="00733687" w:rsidP="00D74819">
            <w:pPr>
              <w:pStyle w:val="TableParagraph"/>
              <w:ind w:left="30"/>
              <w:jc w:val="left"/>
              <w:rPr>
                <w:b/>
                <w:sz w:val="15"/>
              </w:rPr>
            </w:pPr>
            <w:r w:rsidRPr="00314FA4">
              <w:rPr>
                <w:b/>
                <w:w w:val="105"/>
                <w:sz w:val="15"/>
              </w:rPr>
              <w:t>Uvoz u mil KM</w:t>
            </w:r>
          </w:p>
        </w:tc>
        <w:tc>
          <w:tcPr>
            <w:tcW w:w="982" w:type="dxa"/>
          </w:tcPr>
          <w:p w:rsidR="00733687" w:rsidRPr="00314FA4" w:rsidRDefault="00C93917" w:rsidP="00D74819">
            <w:pPr>
              <w:pStyle w:val="TableParagraph"/>
              <w:ind w:right="147"/>
              <w:rPr>
                <w:sz w:val="15"/>
              </w:rPr>
            </w:pPr>
            <w:r w:rsidRPr="00314FA4">
              <w:rPr>
                <w:sz w:val="15"/>
              </w:rPr>
              <w:t>16645</w:t>
            </w:r>
          </w:p>
        </w:tc>
        <w:tc>
          <w:tcPr>
            <w:tcW w:w="982" w:type="dxa"/>
          </w:tcPr>
          <w:p w:rsidR="00733687" w:rsidRPr="00314FA4" w:rsidRDefault="00C93917" w:rsidP="00D74819">
            <w:pPr>
              <w:pStyle w:val="TableParagraph"/>
              <w:ind w:right="147"/>
              <w:rPr>
                <w:sz w:val="15"/>
              </w:rPr>
            </w:pPr>
            <w:r w:rsidRPr="00314FA4">
              <w:rPr>
                <w:sz w:val="15"/>
              </w:rPr>
              <w:t>21084</w:t>
            </w:r>
          </w:p>
        </w:tc>
        <w:tc>
          <w:tcPr>
            <w:tcW w:w="982" w:type="dxa"/>
          </w:tcPr>
          <w:p w:rsidR="00733687" w:rsidRPr="00314FA4" w:rsidRDefault="00C93917" w:rsidP="00D74819">
            <w:pPr>
              <w:pStyle w:val="TableParagraph"/>
              <w:ind w:right="147"/>
              <w:rPr>
                <w:sz w:val="15"/>
              </w:rPr>
            </w:pPr>
            <w:r w:rsidRPr="00314FA4">
              <w:rPr>
                <w:sz w:val="15"/>
              </w:rPr>
              <w:t>26234</w:t>
            </w:r>
          </w:p>
        </w:tc>
        <w:tc>
          <w:tcPr>
            <w:tcW w:w="983" w:type="dxa"/>
          </w:tcPr>
          <w:p w:rsidR="00733687" w:rsidRPr="00314FA4" w:rsidRDefault="00C93917" w:rsidP="00D74819">
            <w:pPr>
              <w:pStyle w:val="TableParagraph"/>
              <w:ind w:right="148"/>
              <w:rPr>
                <w:sz w:val="15"/>
              </w:rPr>
            </w:pPr>
            <w:r w:rsidRPr="00314FA4">
              <w:rPr>
                <w:sz w:val="15"/>
              </w:rPr>
              <w:t>27830</w:t>
            </w:r>
          </w:p>
        </w:tc>
        <w:tc>
          <w:tcPr>
            <w:tcW w:w="982" w:type="dxa"/>
          </w:tcPr>
          <w:p w:rsidR="00733687" w:rsidRPr="00314FA4" w:rsidRDefault="00C93917" w:rsidP="00D74819">
            <w:pPr>
              <w:pStyle w:val="TableParagraph"/>
              <w:ind w:right="148"/>
              <w:rPr>
                <w:sz w:val="15"/>
              </w:rPr>
            </w:pPr>
            <w:r w:rsidRPr="00314FA4">
              <w:rPr>
                <w:sz w:val="15"/>
              </w:rPr>
              <w:t>29400</w:t>
            </w:r>
          </w:p>
        </w:tc>
        <w:tc>
          <w:tcPr>
            <w:tcW w:w="982" w:type="dxa"/>
          </w:tcPr>
          <w:p w:rsidR="00733687" w:rsidRPr="00314FA4" w:rsidRDefault="00C93917" w:rsidP="00D74819">
            <w:pPr>
              <w:pStyle w:val="TableParagraph"/>
              <w:ind w:right="148"/>
              <w:rPr>
                <w:sz w:val="15"/>
              </w:rPr>
            </w:pPr>
            <w:r w:rsidRPr="00314FA4">
              <w:rPr>
                <w:sz w:val="15"/>
              </w:rPr>
              <w:t>31609</w:t>
            </w:r>
          </w:p>
        </w:tc>
      </w:tr>
      <w:tr w:rsidR="00D74819" w:rsidRPr="00314FA4" w:rsidTr="00D74819">
        <w:trPr>
          <w:trHeight w:val="262"/>
        </w:trPr>
        <w:tc>
          <w:tcPr>
            <w:tcW w:w="3911" w:type="dxa"/>
          </w:tcPr>
          <w:p w:rsidR="00733687" w:rsidRPr="00314FA4" w:rsidRDefault="00733687" w:rsidP="00D74819">
            <w:pPr>
              <w:pStyle w:val="TableParagraph"/>
              <w:ind w:left="30"/>
              <w:jc w:val="left"/>
              <w:rPr>
                <w:b/>
                <w:sz w:val="15"/>
              </w:rPr>
            </w:pPr>
            <w:r w:rsidRPr="00314FA4">
              <w:rPr>
                <w:b/>
                <w:w w:val="105"/>
                <w:sz w:val="15"/>
              </w:rPr>
              <w:t>Nominalni rast u %</w:t>
            </w:r>
          </w:p>
        </w:tc>
        <w:tc>
          <w:tcPr>
            <w:tcW w:w="982" w:type="dxa"/>
          </w:tcPr>
          <w:p w:rsidR="00733687" w:rsidRPr="00314FA4" w:rsidRDefault="00C93917" w:rsidP="00D74819">
            <w:pPr>
              <w:pStyle w:val="TableParagraph"/>
              <w:ind w:right="147"/>
              <w:rPr>
                <w:sz w:val="15"/>
              </w:rPr>
            </w:pPr>
            <w:r w:rsidRPr="00314FA4">
              <w:rPr>
                <w:sz w:val="15"/>
              </w:rPr>
              <w:t>-14,6</w:t>
            </w:r>
          </w:p>
        </w:tc>
        <w:tc>
          <w:tcPr>
            <w:tcW w:w="982" w:type="dxa"/>
          </w:tcPr>
          <w:p w:rsidR="00733687" w:rsidRPr="00314FA4" w:rsidRDefault="00C93917" w:rsidP="00D74819">
            <w:pPr>
              <w:pStyle w:val="TableParagraph"/>
              <w:ind w:right="147"/>
              <w:rPr>
                <w:sz w:val="15"/>
              </w:rPr>
            </w:pPr>
            <w:r w:rsidRPr="00314FA4">
              <w:rPr>
                <w:sz w:val="15"/>
              </w:rPr>
              <w:t>26,7</w:t>
            </w:r>
          </w:p>
        </w:tc>
        <w:tc>
          <w:tcPr>
            <w:tcW w:w="982" w:type="dxa"/>
          </w:tcPr>
          <w:p w:rsidR="00733687" w:rsidRPr="00314FA4" w:rsidRDefault="00C93917" w:rsidP="00D74819">
            <w:pPr>
              <w:pStyle w:val="TableParagraph"/>
              <w:ind w:right="147"/>
              <w:rPr>
                <w:sz w:val="15"/>
              </w:rPr>
            </w:pPr>
            <w:r w:rsidRPr="00314FA4">
              <w:rPr>
                <w:w w:val="105"/>
                <w:sz w:val="15"/>
              </w:rPr>
              <w:t>24,4</w:t>
            </w:r>
          </w:p>
        </w:tc>
        <w:tc>
          <w:tcPr>
            <w:tcW w:w="983" w:type="dxa"/>
          </w:tcPr>
          <w:p w:rsidR="00733687" w:rsidRPr="00314FA4" w:rsidRDefault="00C93917" w:rsidP="00D74819">
            <w:pPr>
              <w:pStyle w:val="TableParagraph"/>
              <w:ind w:right="148"/>
              <w:rPr>
                <w:sz w:val="15"/>
              </w:rPr>
            </w:pPr>
            <w:r w:rsidRPr="00314FA4">
              <w:rPr>
                <w:sz w:val="15"/>
              </w:rPr>
              <w:t>6,1</w:t>
            </w:r>
          </w:p>
        </w:tc>
        <w:tc>
          <w:tcPr>
            <w:tcW w:w="982" w:type="dxa"/>
          </w:tcPr>
          <w:p w:rsidR="00733687" w:rsidRPr="00314FA4" w:rsidRDefault="00C93917" w:rsidP="00D74819">
            <w:pPr>
              <w:pStyle w:val="TableParagraph"/>
              <w:ind w:right="148"/>
              <w:rPr>
                <w:sz w:val="15"/>
              </w:rPr>
            </w:pPr>
            <w:r w:rsidRPr="00314FA4">
              <w:rPr>
                <w:sz w:val="15"/>
              </w:rPr>
              <w:t>6</w:t>
            </w:r>
          </w:p>
        </w:tc>
        <w:tc>
          <w:tcPr>
            <w:tcW w:w="982" w:type="dxa"/>
          </w:tcPr>
          <w:p w:rsidR="00733687" w:rsidRPr="00314FA4" w:rsidRDefault="00C93917" w:rsidP="00D74819">
            <w:pPr>
              <w:pStyle w:val="TableParagraph"/>
              <w:ind w:right="148"/>
              <w:rPr>
                <w:sz w:val="15"/>
              </w:rPr>
            </w:pPr>
            <w:r w:rsidRPr="00314FA4">
              <w:rPr>
                <w:sz w:val="15"/>
              </w:rPr>
              <w:t>7,2</w:t>
            </w:r>
          </w:p>
        </w:tc>
      </w:tr>
      <w:tr w:rsidR="00D74819" w:rsidRPr="00314FA4" w:rsidTr="00D74819">
        <w:trPr>
          <w:trHeight w:val="263"/>
        </w:trPr>
        <w:tc>
          <w:tcPr>
            <w:tcW w:w="3911" w:type="dxa"/>
          </w:tcPr>
          <w:p w:rsidR="00733687" w:rsidRPr="00314FA4" w:rsidRDefault="00733687" w:rsidP="00D74819">
            <w:pPr>
              <w:pStyle w:val="TableParagraph"/>
              <w:ind w:left="30"/>
              <w:jc w:val="left"/>
              <w:rPr>
                <w:b/>
                <w:sz w:val="15"/>
              </w:rPr>
            </w:pPr>
            <w:r w:rsidRPr="00314FA4">
              <w:rPr>
                <w:b/>
                <w:w w:val="105"/>
                <w:sz w:val="15"/>
              </w:rPr>
              <w:t>Realni rast u %</w:t>
            </w:r>
          </w:p>
        </w:tc>
        <w:tc>
          <w:tcPr>
            <w:tcW w:w="982" w:type="dxa"/>
          </w:tcPr>
          <w:p w:rsidR="00733687" w:rsidRPr="00314FA4" w:rsidRDefault="00C93917" w:rsidP="00D74819">
            <w:pPr>
              <w:pStyle w:val="TableParagraph"/>
              <w:ind w:right="147"/>
              <w:rPr>
                <w:sz w:val="15"/>
              </w:rPr>
            </w:pPr>
            <w:r w:rsidRPr="00314FA4">
              <w:rPr>
                <w:sz w:val="15"/>
              </w:rPr>
              <w:t>-13,4</w:t>
            </w:r>
          </w:p>
        </w:tc>
        <w:tc>
          <w:tcPr>
            <w:tcW w:w="982" w:type="dxa"/>
          </w:tcPr>
          <w:p w:rsidR="00733687" w:rsidRPr="00314FA4" w:rsidRDefault="00C93917" w:rsidP="00D74819">
            <w:pPr>
              <w:pStyle w:val="TableParagraph"/>
              <w:ind w:right="147"/>
              <w:rPr>
                <w:sz w:val="15"/>
              </w:rPr>
            </w:pPr>
            <w:r w:rsidRPr="00314FA4">
              <w:rPr>
                <w:sz w:val="15"/>
              </w:rPr>
              <w:t>20,5</w:t>
            </w:r>
          </w:p>
        </w:tc>
        <w:tc>
          <w:tcPr>
            <w:tcW w:w="982" w:type="dxa"/>
          </w:tcPr>
          <w:p w:rsidR="00733687" w:rsidRPr="00314FA4" w:rsidRDefault="00C93917" w:rsidP="00D74819">
            <w:pPr>
              <w:pStyle w:val="TableParagraph"/>
              <w:ind w:right="147"/>
              <w:rPr>
                <w:sz w:val="15"/>
              </w:rPr>
            </w:pPr>
            <w:r w:rsidRPr="00314FA4">
              <w:rPr>
                <w:w w:val="105"/>
                <w:sz w:val="15"/>
              </w:rPr>
              <w:t>12</w:t>
            </w:r>
          </w:p>
        </w:tc>
        <w:tc>
          <w:tcPr>
            <w:tcW w:w="983" w:type="dxa"/>
          </w:tcPr>
          <w:p w:rsidR="00733687" w:rsidRPr="00314FA4" w:rsidRDefault="00C93917" w:rsidP="00D74819">
            <w:pPr>
              <w:pStyle w:val="TableParagraph"/>
              <w:ind w:right="148"/>
              <w:rPr>
                <w:sz w:val="15"/>
              </w:rPr>
            </w:pPr>
            <w:r w:rsidRPr="00314FA4">
              <w:rPr>
                <w:sz w:val="15"/>
              </w:rPr>
              <w:t>4,7</w:t>
            </w:r>
          </w:p>
        </w:tc>
        <w:tc>
          <w:tcPr>
            <w:tcW w:w="982" w:type="dxa"/>
          </w:tcPr>
          <w:p w:rsidR="00733687" w:rsidRPr="00314FA4" w:rsidRDefault="00C93917" w:rsidP="00D74819">
            <w:pPr>
              <w:pStyle w:val="TableParagraph"/>
              <w:ind w:right="148"/>
              <w:rPr>
                <w:sz w:val="15"/>
              </w:rPr>
            </w:pPr>
            <w:r w:rsidRPr="00314FA4">
              <w:rPr>
                <w:sz w:val="15"/>
              </w:rPr>
              <w:t>4,6</w:t>
            </w:r>
          </w:p>
        </w:tc>
        <w:tc>
          <w:tcPr>
            <w:tcW w:w="982" w:type="dxa"/>
          </w:tcPr>
          <w:p w:rsidR="00733687" w:rsidRPr="00314FA4" w:rsidRDefault="00C93917" w:rsidP="00D74819">
            <w:pPr>
              <w:pStyle w:val="TableParagraph"/>
              <w:ind w:right="148"/>
              <w:rPr>
                <w:sz w:val="15"/>
              </w:rPr>
            </w:pPr>
            <w:r w:rsidRPr="00314FA4">
              <w:rPr>
                <w:sz w:val="15"/>
              </w:rPr>
              <w:t>5,7</w:t>
            </w:r>
          </w:p>
        </w:tc>
      </w:tr>
      <w:tr w:rsidR="00D74819" w:rsidRPr="00314FA4" w:rsidTr="00D74819">
        <w:trPr>
          <w:trHeight w:val="262"/>
        </w:trPr>
        <w:tc>
          <w:tcPr>
            <w:tcW w:w="3911" w:type="dxa"/>
          </w:tcPr>
          <w:p w:rsidR="00733687" w:rsidRPr="00314FA4" w:rsidRDefault="00733687" w:rsidP="00D74819">
            <w:pPr>
              <w:pStyle w:val="TableParagraph"/>
              <w:ind w:left="30"/>
              <w:jc w:val="left"/>
              <w:rPr>
                <w:b/>
                <w:sz w:val="15"/>
              </w:rPr>
            </w:pPr>
            <w:r w:rsidRPr="00314FA4">
              <w:rPr>
                <w:b/>
                <w:w w:val="105"/>
                <w:sz w:val="15"/>
              </w:rPr>
              <w:t>Izvoz u mil KM</w:t>
            </w:r>
          </w:p>
        </w:tc>
        <w:tc>
          <w:tcPr>
            <w:tcW w:w="982" w:type="dxa"/>
          </w:tcPr>
          <w:p w:rsidR="00733687" w:rsidRPr="00314FA4" w:rsidRDefault="00C93917" w:rsidP="00D74819">
            <w:pPr>
              <w:pStyle w:val="TableParagraph"/>
              <w:ind w:right="147"/>
              <w:rPr>
                <w:sz w:val="15"/>
              </w:rPr>
            </w:pPr>
            <w:r w:rsidRPr="00314FA4">
              <w:rPr>
                <w:sz w:val="15"/>
              </w:rPr>
              <w:t>11870</w:t>
            </w:r>
          </w:p>
        </w:tc>
        <w:tc>
          <w:tcPr>
            <w:tcW w:w="982" w:type="dxa"/>
          </w:tcPr>
          <w:p w:rsidR="00733687" w:rsidRPr="00314FA4" w:rsidRDefault="00C93917" w:rsidP="00D74819">
            <w:pPr>
              <w:pStyle w:val="TableParagraph"/>
              <w:ind w:right="147"/>
              <w:rPr>
                <w:sz w:val="15"/>
              </w:rPr>
            </w:pPr>
            <w:r w:rsidRPr="00314FA4">
              <w:rPr>
                <w:sz w:val="15"/>
              </w:rPr>
              <w:t>16485</w:t>
            </w:r>
          </w:p>
        </w:tc>
        <w:tc>
          <w:tcPr>
            <w:tcW w:w="982" w:type="dxa"/>
          </w:tcPr>
          <w:p w:rsidR="00733687" w:rsidRPr="00314FA4" w:rsidRDefault="00C93917" w:rsidP="00D74819">
            <w:pPr>
              <w:pStyle w:val="TableParagraph"/>
              <w:ind w:right="147"/>
              <w:rPr>
                <w:sz w:val="15"/>
              </w:rPr>
            </w:pPr>
            <w:r w:rsidRPr="00314FA4">
              <w:rPr>
                <w:sz w:val="15"/>
              </w:rPr>
              <w:t>20429</w:t>
            </w:r>
          </w:p>
        </w:tc>
        <w:tc>
          <w:tcPr>
            <w:tcW w:w="983" w:type="dxa"/>
          </w:tcPr>
          <w:p w:rsidR="00733687" w:rsidRPr="00314FA4" w:rsidRDefault="00C93917" w:rsidP="00D74819">
            <w:pPr>
              <w:pStyle w:val="TableParagraph"/>
              <w:ind w:right="148"/>
              <w:rPr>
                <w:sz w:val="15"/>
              </w:rPr>
            </w:pPr>
            <w:r w:rsidRPr="00314FA4">
              <w:rPr>
                <w:sz w:val="15"/>
              </w:rPr>
              <w:t>22346</w:t>
            </w:r>
          </w:p>
        </w:tc>
        <w:tc>
          <w:tcPr>
            <w:tcW w:w="982" w:type="dxa"/>
          </w:tcPr>
          <w:p w:rsidR="00733687" w:rsidRPr="00314FA4" w:rsidRDefault="00C93917" w:rsidP="00D74819">
            <w:pPr>
              <w:pStyle w:val="TableParagraph"/>
              <w:ind w:right="148"/>
              <w:rPr>
                <w:sz w:val="15"/>
              </w:rPr>
            </w:pPr>
            <w:r w:rsidRPr="00314FA4">
              <w:rPr>
                <w:sz w:val="15"/>
              </w:rPr>
              <w:t>24331</w:t>
            </w:r>
          </w:p>
        </w:tc>
        <w:tc>
          <w:tcPr>
            <w:tcW w:w="982" w:type="dxa"/>
          </w:tcPr>
          <w:p w:rsidR="00733687" w:rsidRPr="00314FA4" w:rsidRDefault="00C93917" w:rsidP="00D74819">
            <w:pPr>
              <w:pStyle w:val="TableParagraph"/>
              <w:ind w:right="148"/>
              <w:rPr>
                <w:sz w:val="15"/>
              </w:rPr>
            </w:pPr>
            <w:r w:rsidRPr="00314FA4">
              <w:rPr>
                <w:sz w:val="15"/>
              </w:rPr>
              <w:t>26621</w:t>
            </w:r>
          </w:p>
        </w:tc>
      </w:tr>
      <w:tr w:rsidR="00D74819" w:rsidRPr="00314FA4" w:rsidTr="00D74819">
        <w:trPr>
          <w:trHeight w:val="262"/>
        </w:trPr>
        <w:tc>
          <w:tcPr>
            <w:tcW w:w="3911" w:type="dxa"/>
          </w:tcPr>
          <w:p w:rsidR="00733687" w:rsidRPr="00314FA4" w:rsidRDefault="00733687" w:rsidP="00D74819">
            <w:pPr>
              <w:pStyle w:val="TableParagraph"/>
              <w:ind w:left="30"/>
              <w:jc w:val="left"/>
              <w:rPr>
                <w:b/>
                <w:sz w:val="15"/>
              </w:rPr>
            </w:pPr>
            <w:r w:rsidRPr="00314FA4">
              <w:rPr>
                <w:b/>
                <w:w w:val="105"/>
                <w:sz w:val="15"/>
              </w:rPr>
              <w:t>Nominalni rast u %</w:t>
            </w:r>
          </w:p>
        </w:tc>
        <w:tc>
          <w:tcPr>
            <w:tcW w:w="982" w:type="dxa"/>
          </w:tcPr>
          <w:p w:rsidR="00733687" w:rsidRPr="00314FA4" w:rsidRDefault="00C93917" w:rsidP="00D74819">
            <w:pPr>
              <w:pStyle w:val="TableParagraph"/>
              <w:ind w:right="147"/>
              <w:rPr>
                <w:sz w:val="15"/>
              </w:rPr>
            </w:pPr>
            <w:r w:rsidRPr="00314FA4">
              <w:rPr>
                <w:sz w:val="15"/>
              </w:rPr>
              <w:t>-17,2</w:t>
            </w:r>
          </w:p>
        </w:tc>
        <w:tc>
          <w:tcPr>
            <w:tcW w:w="982" w:type="dxa"/>
          </w:tcPr>
          <w:p w:rsidR="00733687" w:rsidRPr="00314FA4" w:rsidRDefault="00C93917" w:rsidP="00D74819">
            <w:pPr>
              <w:pStyle w:val="TableParagraph"/>
              <w:ind w:right="147"/>
              <w:rPr>
                <w:sz w:val="15"/>
              </w:rPr>
            </w:pPr>
            <w:r w:rsidRPr="00314FA4">
              <w:rPr>
                <w:sz w:val="15"/>
              </w:rPr>
              <w:t>38,9</w:t>
            </w:r>
          </w:p>
        </w:tc>
        <w:tc>
          <w:tcPr>
            <w:tcW w:w="982" w:type="dxa"/>
          </w:tcPr>
          <w:p w:rsidR="00733687" w:rsidRPr="00314FA4" w:rsidRDefault="00C93917" w:rsidP="00D74819">
            <w:pPr>
              <w:pStyle w:val="TableParagraph"/>
              <w:ind w:right="147"/>
              <w:rPr>
                <w:sz w:val="15"/>
              </w:rPr>
            </w:pPr>
            <w:r w:rsidRPr="00314FA4">
              <w:rPr>
                <w:w w:val="105"/>
                <w:sz w:val="15"/>
              </w:rPr>
              <w:t>23,9</w:t>
            </w:r>
          </w:p>
        </w:tc>
        <w:tc>
          <w:tcPr>
            <w:tcW w:w="983" w:type="dxa"/>
          </w:tcPr>
          <w:p w:rsidR="00733687" w:rsidRPr="00314FA4" w:rsidRDefault="00C93917" w:rsidP="00D74819">
            <w:pPr>
              <w:pStyle w:val="TableParagraph"/>
              <w:ind w:right="148"/>
              <w:rPr>
                <w:sz w:val="15"/>
              </w:rPr>
            </w:pPr>
            <w:r w:rsidRPr="00314FA4">
              <w:rPr>
                <w:sz w:val="15"/>
              </w:rPr>
              <w:t>9,4</w:t>
            </w:r>
          </w:p>
        </w:tc>
        <w:tc>
          <w:tcPr>
            <w:tcW w:w="982" w:type="dxa"/>
          </w:tcPr>
          <w:p w:rsidR="00733687" w:rsidRPr="00314FA4" w:rsidRDefault="00C93917" w:rsidP="00D74819">
            <w:pPr>
              <w:pStyle w:val="TableParagraph"/>
              <w:ind w:right="148"/>
              <w:rPr>
                <w:sz w:val="15"/>
              </w:rPr>
            </w:pPr>
            <w:r w:rsidRPr="00314FA4">
              <w:rPr>
                <w:sz w:val="15"/>
              </w:rPr>
              <w:t>8,9</w:t>
            </w:r>
          </w:p>
        </w:tc>
        <w:tc>
          <w:tcPr>
            <w:tcW w:w="982" w:type="dxa"/>
          </w:tcPr>
          <w:p w:rsidR="00733687" w:rsidRPr="00314FA4" w:rsidRDefault="00C93917" w:rsidP="00D74819">
            <w:pPr>
              <w:pStyle w:val="TableParagraph"/>
              <w:ind w:right="148"/>
              <w:rPr>
                <w:sz w:val="15"/>
              </w:rPr>
            </w:pPr>
            <w:r w:rsidRPr="00314FA4">
              <w:rPr>
                <w:sz w:val="15"/>
              </w:rPr>
              <w:t>9,4</w:t>
            </w:r>
          </w:p>
        </w:tc>
      </w:tr>
      <w:tr w:rsidR="00D74819" w:rsidRPr="00314FA4" w:rsidTr="00D74819">
        <w:trPr>
          <w:trHeight w:val="262"/>
        </w:trPr>
        <w:tc>
          <w:tcPr>
            <w:tcW w:w="3911" w:type="dxa"/>
          </w:tcPr>
          <w:p w:rsidR="00733687" w:rsidRPr="00314FA4" w:rsidRDefault="00733687" w:rsidP="00D74819">
            <w:pPr>
              <w:pStyle w:val="TableParagraph"/>
              <w:ind w:left="30"/>
              <w:jc w:val="left"/>
              <w:rPr>
                <w:b/>
                <w:sz w:val="15"/>
              </w:rPr>
            </w:pPr>
            <w:r w:rsidRPr="00314FA4">
              <w:rPr>
                <w:b/>
                <w:w w:val="105"/>
                <w:sz w:val="15"/>
              </w:rPr>
              <w:t>Realni rast u %</w:t>
            </w:r>
          </w:p>
        </w:tc>
        <w:tc>
          <w:tcPr>
            <w:tcW w:w="982" w:type="dxa"/>
          </w:tcPr>
          <w:p w:rsidR="00733687" w:rsidRPr="00314FA4" w:rsidRDefault="00C93917" w:rsidP="00D74819">
            <w:pPr>
              <w:pStyle w:val="TableParagraph"/>
              <w:ind w:right="147"/>
              <w:rPr>
                <w:sz w:val="15"/>
              </w:rPr>
            </w:pPr>
            <w:r w:rsidRPr="00314FA4">
              <w:rPr>
                <w:sz w:val="15"/>
              </w:rPr>
              <w:t>-15,8</w:t>
            </w:r>
          </w:p>
        </w:tc>
        <w:tc>
          <w:tcPr>
            <w:tcW w:w="982" w:type="dxa"/>
          </w:tcPr>
          <w:p w:rsidR="00733687" w:rsidRPr="00314FA4" w:rsidRDefault="00C93917" w:rsidP="00D74819">
            <w:pPr>
              <w:pStyle w:val="TableParagraph"/>
              <w:ind w:right="147"/>
              <w:rPr>
                <w:sz w:val="15"/>
              </w:rPr>
            </w:pPr>
            <w:r w:rsidRPr="00314FA4">
              <w:rPr>
                <w:sz w:val="15"/>
              </w:rPr>
              <w:t>24,6</w:t>
            </w:r>
          </w:p>
        </w:tc>
        <w:tc>
          <w:tcPr>
            <w:tcW w:w="982" w:type="dxa"/>
          </w:tcPr>
          <w:p w:rsidR="00733687" w:rsidRPr="00314FA4" w:rsidRDefault="00C93917" w:rsidP="00D74819">
            <w:pPr>
              <w:pStyle w:val="TableParagraph"/>
              <w:ind w:right="147"/>
              <w:rPr>
                <w:sz w:val="15"/>
              </w:rPr>
            </w:pPr>
            <w:r w:rsidRPr="00314FA4">
              <w:rPr>
                <w:w w:val="105"/>
                <w:sz w:val="15"/>
              </w:rPr>
              <w:t>15,2</w:t>
            </w:r>
          </w:p>
        </w:tc>
        <w:tc>
          <w:tcPr>
            <w:tcW w:w="983" w:type="dxa"/>
          </w:tcPr>
          <w:p w:rsidR="00733687" w:rsidRPr="00314FA4" w:rsidRDefault="00C93917" w:rsidP="00D74819">
            <w:pPr>
              <w:pStyle w:val="TableParagraph"/>
              <w:ind w:right="148"/>
              <w:rPr>
                <w:sz w:val="15"/>
              </w:rPr>
            </w:pPr>
            <w:r w:rsidRPr="00314FA4">
              <w:rPr>
                <w:sz w:val="15"/>
              </w:rPr>
              <w:t>6,6</w:t>
            </w:r>
          </w:p>
        </w:tc>
        <w:tc>
          <w:tcPr>
            <w:tcW w:w="982" w:type="dxa"/>
          </w:tcPr>
          <w:p w:rsidR="00733687" w:rsidRPr="00314FA4" w:rsidRDefault="00C93917" w:rsidP="00D74819">
            <w:pPr>
              <w:pStyle w:val="TableParagraph"/>
              <w:ind w:right="148"/>
              <w:rPr>
                <w:sz w:val="15"/>
              </w:rPr>
            </w:pPr>
            <w:r w:rsidRPr="00314FA4">
              <w:rPr>
                <w:sz w:val="15"/>
              </w:rPr>
              <w:t>6,8</w:t>
            </w:r>
          </w:p>
        </w:tc>
        <w:tc>
          <w:tcPr>
            <w:tcW w:w="982" w:type="dxa"/>
          </w:tcPr>
          <w:p w:rsidR="00733687" w:rsidRPr="00314FA4" w:rsidRDefault="00C93917" w:rsidP="00D74819">
            <w:pPr>
              <w:pStyle w:val="TableParagraph"/>
              <w:ind w:right="148"/>
              <w:rPr>
                <w:sz w:val="15"/>
              </w:rPr>
            </w:pPr>
            <w:r w:rsidRPr="00314FA4">
              <w:rPr>
                <w:sz w:val="15"/>
              </w:rPr>
              <w:t>7,3</w:t>
            </w:r>
          </w:p>
        </w:tc>
      </w:tr>
      <w:tr w:rsidR="00D74819" w:rsidRPr="00314FA4" w:rsidTr="00D74819">
        <w:trPr>
          <w:trHeight w:val="262"/>
        </w:trPr>
        <w:tc>
          <w:tcPr>
            <w:tcW w:w="3911" w:type="dxa"/>
          </w:tcPr>
          <w:p w:rsidR="00733687" w:rsidRPr="00314FA4" w:rsidRDefault="00733687" w:rsidP="00D74819">
            <w:pPr>
              <w:pStyle w:val="TableParagraph"/>
              <w:ind w:left="30"/>
              <w:jc w:val="left"/>
              <w:rPr>
                <w:b/>
                <w:sz w:val="15"/>
              </w:rPr>
            </w:pPr>
            <w:r w:rsidRPr="00314FA4">
              <w:rPr>
                <w:b/>
                <w:w w:val="105"/>
                <w:sz w:val="15"/>
              </w:rPr>
              <w:t>Nacionalna bruto štednja u % BDP-a</w:t>
            </w:r>
          </w:p>
        </w:tc>
        <w:tc>
          <w:tcPr>
            <w:tcW w:w="982" w:type="dxa"/>
          </w:tcPr>
          <w:p w:rsidR="00733687" w:rsidRPr="00314FA4" w:rsidRDefault="00C93917" w:rsidP="00D74819">
            <w:pPr>
              <w:pStyle w:val="TableParagraph"/>
              <w:ind w:right="147"/>
              <w:rPr>
                <w:sz w:val="15"/>
              </w:rPr>
            </w:pPr>
            <w:r w:rsidRPr="00314FA4">
              <w:rPr>
                <w:sz w:val="15"/>
              </w:rPr>
              <w:t>19</w:t>
            </w:r>
          </w:p>
        </w:tc>
        <w:tc>
          <w:tcPr>
            <w:tcW w:w="982" w:type="dxa"/>
          </w:tcPr>
          <w:p w:rsidR="00733687" w:rsidRPr="00314FA4" w:rsidRDefault="00C93917" w:rsidP="00D74819">
            <w:pPr>
              <w:pStyle w:val="TableParagraph"/>
              <w:ind w:right="147"/>
              <w:rPr>
                <w:sz w:val="15"/>
              </w:rPr>
            </w:pPr>
            <w:r w:rsidRPr="00314FA4">
              <w:rPr>
                <w:sz w:val="15"/>
              </w:rPr>
              <w:t>23,5</w:t>
            </w:r>
          </w:p>
        </w:tc>
        <w:tc>
          <w:tcPr>
            <w:tcW w:w="982" w:type="dxa"/>
          </w:tcPr>
          <w:p w:rsidR="00733687" w:rsidRPr="00314FA4" w:rsidRDefault="00C93917" w:rsidP="00D74819">
            <w:pPr>
              <w:pStyle w:val="TableParagraph"/>
              <w:ind w:right="147"/>
              <w:rPr>
                <w:sz w:val="15"/>
              </w:rPr>
            </w:pPr>
            <w:r w:rsidRPr="00314FA4">
              <w:rPr>
                <w:sz w:val="15"/>
              </w:rPr>
              <w:t>22,4</w:t>
            </w:r>
          </w:p>
        </w:tc>
        <w:tc>
          <w:tcPr>
            <w:tcW w:w="983" w:type="dxa"/>
          </w:tcPr>
          <w:p w:rsidR="00733687" w:rsidRPr="00314FA4" w:rsidRDefault="00C93917" w:rsidP="00D74819">
            <w:pPr>
              <w:pStyle w:val="TableParagraph"/>
              <w:ind w:right="148"/>
              <w:rPr>
                <w:sz w:val="15"/>
              </w:rPr>
            </w:pPr>
            <w:r w:rsidRPr="00314FA4">
              <w:rPr>
                <w:sz w:val="15"/>
              </w:rPr>
              <w:t>23,2</w:t>
            </w:r>
          </w:p>
        </w:tc>
        <w:tc>
          <w:tcPr>
            <w:tcW w:w="982" w:type="dxa"/>
          </w:tcPr>
          <w:p w:rsidR="00733687" w:rsidRPr="00314FA4" w:rsidRDefault="00C93917" w:rsidP="00D74819">
            <w:pPr>
              <w:pStyle w:val="TableParagraph"/>
              <w:ind w:right="148"/>
              <w:rPr>
                <w:sz w:val="15"/>
              </w:rPr>
            </w:pPr>
            <w:r w:rsidRPr="00314FA4">
              <w:rPr>
                <w:sz w:val="15"/>
              </w:rPr>
              <w:t>24,9</w:t>
            </w:r>
          </w:p>
        </w:tc>
        <w:tc>
          <w:tcPr>
            <w:tcW w:w="982" w:type="dxa"/>
          </w:tcPr>
          <w:p w:rsidR="00733687" w:rsidRPr="00314FA4" w:rsidRDefault="00C93917" w:rsidP="00D74819">
            <w:pPr>
              <w:pStyle w:val="TableParagraph"/>
              <w:ind w:right="148"/>
              <w:rPr>
                <w:sz w:val="15"/>
              </w:rPr>
            </w:pPr>
            <w:r w:rsidRPr="00314FA4">
              <w:rPr>
                <w:sz w:val="15"/>
              </w:rPr>
              <w:t>26,3</w:t>
            </w:r>
          </w:p>
        </w:tc>
      </w:tr>
      <w:tr w:rsidR="00D74819" w:rsidRPr="00314FA4" w:rsidTr="00D74819">
        <w:trPr>
          <w:trHeight w:val="262"/>
        </w:trPr>
        <w:tc>
          <w:tcPr>
            <w:tcW w:w="3911" w:type="dxa"/>
          </w:tcPr>
          <w:p w:rsidR="00733687" w:rsidRPr="00314FA4" w:rsidRDefault="00733687" w:rsidP="00D74819">
            <w:pPr>
              <w:pStyle w:val="TableParagraph"/>
              <w:ind w:left="30"/>
              <w:jc w:val="left"/>
              <w:rPr>
                <w:b/>
                <w:sz w:val="15"/>
              </w:rPr>
            </w:pPr>
            <w:r w:rsidRPr="00314FA4">
              <w:rPr>
                <w:b/>
                <w:w w:val="105"/>
                <w:sz w:val="15"/>
              </w:rPr>
              <w:t>Bilans tekućeg računa u mil KM</w:t>
            </w:r>
          </w:p>
        </w:tc>
        <w:tc>
          <w:tcPr>
            <w:tcW w:w="982" w:type="dxa"/>
          </w:tcPr>
          <w:p w:rsidR="00733687" w:rsidRPr="00314FA4" w:rsidRDefault="00C93917" w:rsidP="00D74819">
            <w:pPr>
              <w:pStyle w:val="TableParagraph"/>
              <w:ind w:right="146"/>
              <w:rPr>
                <w:sz w:val="15"/>
              </w:rPr>
            </w:pPr>
            <w:r w:rsidRPr="00314FA4">
              <w:rPr>
                <w:sz w:val="15"/>
              </w:rPr>
              <w:t>-1286</w:t>
            </w:r>
          </w:p>
        </w:tc>
        <w:tc>
          <w:tcPr>
            <w:tcW w:w="982" w:type="dxa"/>
          </w:tcPr>
          <w:p w:rsidR="00733687" w:rsidRPr="00314FA4" w:rsidRDefault="00C93917" w:rsidP="00D74819">
            <w:pPr>
              <w:pStyle w:val="TableParagraph"/>
              <w:ind w:right="146"/>
              <w:rPr>
                <w:sz w:val="15"/>
              </w:rPr>
            </w:pPr>
            <w:r w:rsidRPr="00314FA4">
              <w:rPr>
                <w:sz w:val="15"/>
              </w:rPr>
              <w:t>-802</w:t>
            </w:r>
          </w:p>
        </w:tc>
        <w:tc>
          <w:tcPr>
            <w:tcW w:w="982" w:type="dxa"/>
          </w:tcPr>
          <w:p w:rsidR="00733687" w:rsidRPr="00314FA4" w:rsidRDefault="00C93917" w:rsidP="00D74819">
            <w:pPr>
              <w:pStyle w:val="TableParagraph"/>
              <w:ind w:right="147"/>
              <w:rPr>
                <w:sz w:val="15"/>
              </w:rPr>
            </w:pPr>
            <w:r w:rsidRPr="00314FA4">
              <w:rPr>
                <w:sz w:val="15"/>
              </w:rPr>
              <w:t>-1765</w:t>
            </w:r>
          </w:p>
        </w:tc>
        <w:tc>
          <w:tcPr>
            <w:tcW w:w="983" w:type="dxa"/>
          </w:tcPr>
          <w:p w:rsidR="00733687" w:rsidRPr="00314FA4" w:rsidRDefault="00C93917" w:rsidP="00C93917">
            <w:pPr>
              <w:pStyle w:val="TableParagraph"/>
              <w:ind w:right="148"/>
              <w:rPr>
                <w:sz w:val="15"/>
              </w:rPr>
            </w:pPr>
            <w:r w:rsidRPr="00314FA4">
              <w:rPr>
                <w:sz w:val="15"/>
              </w:rPr>
              <w:t>-1422</w:t>
            </w:r>
          </w:p>
        </w:tc>
        <w:tc>
          <w:tcPr>
            <w:tcW w:w="982" w:type="dxa"/>
          </w:tcPr>
          <w:p w:rsidR="00733687" w:rsidRPr="00314FA4" w:rsidRDefault="00C93917" w:rsidP="00D74819">
            <w:pPr>
              <w:pStyle w:val="TableParagraph"/>
              <w:ind w:right="148"/>
              <w:rPr>
                <w:sz w:val="15"/>
              </w:rPr>
            </w:pPr>
            <w:r w:rsidRPr="00314FA4">
              <w:rPr>
                <w:sz w:val="15"/>
              </w:rPr>
              <w:t>-1067</w:t>
            </w:r>
          </w:p>
        </w:tc>
        <w:tc>
          <w:tcPr>
            <w:tcW w:w="982" w:type="dxa"/>
          </w:tcPr>
          <w:p w:rsidR="00733687" w:rsidRPr="00314FA4" w:rsidRDefault="00C93917" w:rsidP="00D74819">
            <w:pPr>
              <w:pStyle w:val="TableParagraph"/>
              <w:ind w:right="148"/>
              <w:rPr>
                <w:sz w:val="15"/>
              </w:rPr>
            </w:pPr>
            <w:r w:rsidRPr="00314FA4">
              <w:rPr>
                <w:sz w:val="15"/>
              </w:rPr>
              <w:t>-836</w:t>
            </w:r>
          </w:p>
        </w:tc>
      </w:tr>
      <w:tr w:rsidR="00D74819" w:rsidRPr="00314FA4" w:rsidTr="00D74819">
        <w:trPr>
          <w:trHeight w:val="262"/>
        </w:trPr>
        <w:tc>
          <w:tcPr>
            <w:tcW w:w="3911" w:type="dxa"/>
          </w:tcPr>
          <w:p w:rsidR="00733687" w:rsidRPr="00314FA4" w:rsidRDefault="00733687" w:rsidP="00D74819">
            <w:pPr>
              <w:pStyle w:val="TableParagraph"/>
              <w:ind w:left="30"/>
              <w:jc w:val="left"/>
              <w:rPr>
                <w:b/>
                <w:sz w:val="15"/>
              </w:rPr>
            </w:pPr>
            <w:r w:rsidRPr="00314FA4">
              <w:rPr>
                <w:b/>
                <w:w w:val="105"/>
                <w:sz w:val="15"/>
              </w:rPr>
              <w:t>Rast u %</w:t>
            </w:r>
          </w:p>
        </w:tc>
        <w:tc>
          <w:tcPr>
            <w:tcW w:w="982" w:type="dxa"/>
          </w:tcPr>
          <w:p w:rsidR="00733687" w:rsidRPr="00314FA4" w:rsidRDefault="00C93917" w:rsidP="00D74819">
            <w:pPr>
              <w:pStyle w:val="TableParagraph"/>
              <w:ind w:right="146"/>
              <w:rPr>
                <w:sz w:val="15"/>
              </w:rPr>
            </w:pPr>
            <w:r w:rsidRPr="00314FA4">
              <w:rPr>
                <w:w w:val="105"/>
                <w:sz w:val="15"/>
              </w:rPr>
              <w:t>29,6</w:t>
            </w:r>
          </w:p>
        </w:tc>
        <w:tc>
          <w:tcPr>
            <w:tcW w:w="982" w:type="dxa"/>
          </w:tcPr>
          <w:p w:rsidR="00733687" w:rsidRPr="00314FA4" w:rsidRDefault="00C93917" w:rsidP="00D74819">
            <w:pPr>
              <w:pStyle w:val="TableParagraph"/>
              <w:ind w:right="147"/>
              <w:rPr>
                <w:sz w:val="15"/>
              </w:rPr>
            </w:pPr>
            <w:r w:rsidRPr="00314FA4">
              <w:rPr>
                <w:sz w:val="15"/>
              </w:rPr>
              <w:t>-37,2</w:t>
            </w:r>
          </w:p>
        </w:tc>
        <w:tc>
          <w:tcPr>
            <w:tcW w:w="982" w:type="dxa"/>
          </w:tcPr>
          <w:p w:rsidR="00733687" w:rsidRPr="00314FA4" w:rsidRDefault="00C93917" w:rsidP="00D74819">
            <w:pPr>
              <w:pStyle w:val="TableParagraph"/>
              <w:ind w:right="147"/>
              <w:rPr>
                <w:sz w:val="15"/>
              </w:rPr>
            </w:pPr>
            <w:r w:rsidRPr="00314FA4">
              <w:rPr>
                <w:sz w:val="15"/>
              </w:rPr>
              <w:t>117,4</w:t>
            </w:r>
          </w:p>
        </w:tc>
        <w:tc>
          <w:tcPr>
            <w:tcW w:w="983" w:type="dxa"/>
          </w:tcPr>
          <w:p w:rsidR="00733687" w:rsidRPr="00314FA4" w:rsidRDefault="00C93917" w:rsidP="00D74819">
            <w:pPr>
              <w:pStyle w:val="TableParagraph"/>
              <w:ind w:right="148"/>
              <w:rPr>
                <w:sz w:val="15"/>
              </w:rPr>
            </w:pPr>
            <w:r w:rsidRPr="00314FA4">
              <w:rPr>
                <w:sz w:val="15"/>
              </w:rPr>
              <w:t>-19,4</w:t>
            </w:r>
          </w:p>
        </w:tc>
        <w:tc>
          <w:tcPr>
            <w:tcW w:w="982" w:type="dxa"/>
          </w:tcPr>
          <w:p w:rsidR="00733687" w:rsidRPr="00314FA4" w:rsidRDefault="00C93917" w:rsidP="00D74819">
            <w:pPr>
              <w:pStyle w:val="TableParagraph"/>
              <w:ind w:right="148"/>
              <w:rPr>
                <w:sz w:val="15"/>
              </w:rPr>
            </w:pPr>
            <w:r w:rsidRPr="00314FA4">
              <w:rPr>
                <w:sz w:val="15"/>
              </w:rPr>
              <w:t>-24,9</w:t>
            </w:r>
          </w:p>
        </w:tc>
        <w:tc>
          <w:tcPr>
            <w:tcW w:w="982" w:type="dxa"/>
          </w:tcPr>
          <w:p w:rsidR="00733687" w:rsidRPr="00314FA4" w:rsidRDefault="00C93917" w:rsidP="00D74819">
            <w:pPr>
              <w:pStyle w:val="TableParagraph"/>
              <w:ind w:right="148"/>
              <w:rPr>
                <w:sz w:val="15"/>
              </w:rPr>
            </w:pPr>
            <w:r w:rsidRPr="00314FA4">
              <w:rPr>
                <w:sz w:val="15"/>
              </w:rPr>
              <w:t>-21,6</w:t>
            </w:r>
          </w:p>
        </w:tc>
      </w:tr>
      <w:tr w:rsidR="00D74819" w:rsidRPr="00314FA4" w:rsidTr="00D74819">
        <w:trPr>
          <w:trHeight w:val="262"/>
        </w:trPr>
        <w:tc>
          <w:tcPr>
            <w:tcW w:w="3911" w:type="dxa"/>
          </w:tcPr>
          <w:p w:rsidR="00733687" w:rsidRPr="00314FA4" w:rsidRDefault="00733687" w:rsidP="00D74819">
            <w:pPr>
              <w:pStyle w:val="TableParagraph"/>
              <w:ind w:left="30"/>
              <w:jc w:val="left"/>
              <w:rPr>
                <w:b/>
                <w:sz w:val="15"/>
              </w:rPr>
            </w:pPr>
            <w:r w:rsidRPr="00314FA4">
              <w:rPr>
                <w:b/>
                <w:w w:val="105"/>
                <w:sz w:val="15"/>
              </w:rPr>
              <w:t>Bilans tekućeg računa u % BDP-a</w:t>
            </w:r>
          </w:p>
        </w:tc>
        <w:tc>
          <w:tcPr>
            <w:tcW w:w="982" w:type="dxa"/>
          </w:tcPr>
          <w:p w:rsidR="00733687" w:rsidRPr="00314FA4" w:rsidRDefault="00C93917" w:rsidP="00D74819">
            <w:pPr>
              <w:pStyle w:val="TableParagraph"/>
              <w:ind w:right="146"/>
              <w:rPr>
                <w:sz w:val="15"/>
              </w:rPr>
            </w:pPr>
            <w:r w:rsidRPr="00314FA4">
              <w:rPr>
                <w:w w:val="105"/>
                <w:sz w:val="15"/>
              </w:rPr>
              <w:t>-3,6</w:t>
            </w:r>
          </w:p>
        </w:tc>
        <w:tc>
          <w:tcPr>
            <w:tcW w:w="982" w:type="dxa"/>
          </w:tcPr>
          <w:p w:rsidR="00733687" w:rsidRPr="00314FA4" w:rsidRDefault="00C93917" w:rsidP="00D74819">
            <w:pPr>
              <w:pStyle w:val="TableParagraph"/>
              <w:ind w:right="146"/>
              <w:rPr>
                <w:sz w:val="15"/>
              </w:rPr>
            </w:pPr>
            <w:r w:rsidRPr="00314FA4">
              <w:rPr>
                <w:w w:val="105"/>
                <w:sz w:val="15"/>
              </w:rPr>
              <w:t>-2</w:t>
            </w:r>
          </w:p>
        </w:tc>
        <w:tc>
          <w:tcPr>
            <w:tcW w:w="982" w:type="dxa"/>
          </w:tcPr>
          <w:p w:rsidR="00733687" w:rsidRPr="00314FA4" w:rsidRDefault="00C93917" w:rsidP="00D74819">
            <w:pPr>
              <w:pStyle w:val="TableParagraph"/>
              <w:ind w:right="147"/>
              <w:rPr>
                <w:sz w:val="15"/>
              </w:rPr>
            </w:pPr>
            <w:r w:rsidRPr="00314FA4">
              <w:rPr>
                <w:w w:val="105"/>
                <w:sz w:val="15"/>
              </w:rPr>
              <w:t>-4</w:t>
            </w:r>
          </w:p>
        </w:tc>
        <w:tc>
          <w:tcPr>
            <w:tcW w:w="983" w:type="dxa"/>
          </w:tcPr>
          <w:p w:rsidR="00733687" w:rsidRPr="00314FA4" w:rsidRDefault="00C93917" w:rsidP="00D74819">
            <w:pPr>
              <w:pStyle w:val="TableParagraph"/>
              <w:ind w:right="148"/>
              <w:rPr>
                <w:sz w:val="15"/>
              </w:rPr>
            </w:pPr>
            <w:r w:rsidRPr="00314FA4">
              <w:rPr>
                <w:w w:val="105"/>
                <w:sz w:val="15"/>
              </w:rPr>
              <w:t>-3</w:t>
            </w:r>
          </w:p>
        </w:tc>
        <w:tc>
          <w:tcPr>
            <w:tcW w:w="982" w:type="dxa"/>
          </w:tcPr>
          <w:p w:rsidR="00733687" w:rsidRPr="00314FA4" w:rsidRDefault="00C93917" w:rsidP="00D74819">
            <w:pPr>
              <w:pStyle w:val="TableParagraph"/>
              <w:ind w:right="148"/>
              <w:rPr>
                <w:sz w:val="15"/>
              </w:rPr>
            </w:pPr>
            <w:r w:rsidRPr="00314FA4">
              <w:rPr>
                <w:w w:val="105"/>
                <w:sz w:val="15"/>
              </w:rPr>
              <w:t>-2,2</w:t>
            </w:r>
          </w:p>
        </w:tc>
        <w:tc>
          <w:tcPr>
            <w:tcW w:w="982" w:type="dxa"/>
          </w:tcPr>
          <w:p w:rsidR="00733687" w:rsidRPr="00314FA4" w:rsidRDefault="00C93917" w:rsidP="00D74819">
            <w:pPr>
              <w:pStyle w:val="TableParagraph"/>
              <w:ind w:right="148"/>
              <w:rPr>
                <w:sz w:val="15"/>
              </w:rPr>
            </w:pPr>
            <w:r w:rsidRPr="00314FA4">
              <w:rPr>
                <w:w w:val="105"/>
                <w:sz w:val="15"/>
              </w:rPr>
              <w:t>-1,6</w:t>
            </w:r>
          </w:p>
        </w:tc>
      </w:tr>
    </w:tbl>
    <w:p w:rsidR="00733687" w:rsidRPr="00314FA4" w:rsidRDefault="00733687" w:rsidP="00733687">
      <w:pPr>
        <w:spacing w:after="0" w:line="240" w:lineRule="auto"/>
        <w:rPr>
          <w:rFonts w:ascii="Ebrima" w:eastAsia="Times New Roman" w:hAnsi="Ebrima" w:cs="Times New Roman"/>
          <w:b/>
          <w:sz w:val="24"/>
          <w:szCs w:val="24"/>
          <w:lang w:val="hr-HR"/>
        </w:rPr>
      </w:pPr>
    </w:p>
    <w:p w:rsidR="00D8658B" w:rsidRPr="00314FA4" w:rsidRDefault="00D8658B" w:rsidP="00577BAE">
      <w:pPr>
        <w:spacing w:after="0" w:line="240" w:lineRule="auto"/>
        <w:jc w:val="both"/>
        <w:rPr>
          <w:rFonts w:ascii="Ebrima" w:eastAsia="Times New Roman" w:hAnsi="Ebrima" w:cs="Times New Roman"/>
          <w:sz w:val="24"/>
          <w:szCs w:val="24"/>
          <w:lang w:val="hr-HR"/>
        </w:rPr>
      </w:pPr>
    </w:p>
    <w:p w:rsidR="00885611" w:rsidRPr="00314FA4" w:rsidRDefault="00885611" w:rsidP="00885611">
      <w:pPr>
        <w:spacing w:after="17"/>
        <w:ind w:left="43" w:hanging="10"/>
        <w:rPr>
          <w:rFonts w:ascii="Arial" w:eastAsia="Arial" w:hAnsi="Arial" w:cs="Arial"/>
        </w:rPr>
      </w:pPr>
      <w:r w:rsidRPr="00314FA4">
        <w:rPr>
          <w:rFonts w:ascii="Arial" w:eastAsia="Arial" w:hAnsi="Arial" w:cs="Arial"/>
          <w:b/>
        </w:rPr>
        <w:t>MAKROEKONOMSKI POKAZATELJI U BOSANSKO</w:t>
      </w:r>
      <w:r w:rsidR="0097123B" w:rsidRPr="00314FA4">
        <w:rPr>
          <w:rFonts w:ascii="Arial" w:eastAsia="Arial" w:hAnsi="Arial" w:cs="Arial"/>
          <w:b/>
        </w:rPr>
        <w:t xml:space="preserve">-PODRINJSKOM KANTONU GORAŽDE </w:t>
      </w:r>
      <w:r w:rsidR="000E4019" w:rsidRPr="00314FA4">
        <w:rPr>
          <w:rFonts w:ascii="Arial" w:eastAsia="Arial" w:hAnsi="Arial" w:cs="Arial"/>
          <w:b/>
        </w:rPr>
        <w:t>(zadnji dostupni na službenim stranicama</w:t>
      </w:r>
      <w:r w:rsidR="00D74819" w:rsidRPr="00314FA4">
        <w:rPr>
          <w:rFonts w:ascii="Arial" w:eastAsia="Arial" w:hAnsi="Arial" w:cs="Arial"/>
          <w:b/>
        </w:rPr>
        <w:t xml:space="preserve"> - za 2021. godinu</w:t>
      </w:r>
      <w:r w:rsidR="000E4019" w:rsidRPr="00314FA4">
        <w:rPr>
          <w:rFonts w:ascii="Arial" w:eastAsia="Arial" w:hAnsi="Arial" w:cs="Arial"/>
          <w:b/>
        </w:rPr>
        <w:t>)</w:t>
      </w:r>
    </w:p>
    <w:p w:rsidR="00885611" w:rsidRPr="00314FA4" w:rsidRDefault="00885611" w:rsidP="00885611">
      <w:pPr>
        <w:spacing w:after="25"/>
        <w:rPr>
          <w:rFonts w:ascii="Arial" w:eastAsia="Arial" w:hAnsi="Arial" w:cs="Arial"/>
        </w:rPr>
      </w:pPr>
      <w:r w:rsidRPr="00314FA4">
        <w:rPr>
          <w:rFonts w:ascii="Arial" w:eastAsia="Arial" w:hAnsi="Arial" w:cs="Arial"/>
        </w:rPr>
        <w:t xml:space="preserve"> </w:t>
      </w:r>
    </w:p>
    <w:p w:rsidR="00885611" w:rsidRPr="00314FA4" w:rsidRDefault="00885611" w:rsidP="00885611">
      <w:pPr>
        <w:spacing w:after="5" w:line="287" w:lineRule="auto"/>
        <w:ind w:left="9" w:hanging="10"/>
        <w:jc w:val="both"/>
        <w:rPr>
          <w:rFonts w:ascii="Arial" w:eastAsia="Arial" w:hAnsi="Arial" w:cs="Arial"/>
        </w:rPr>
      </w:pPr>
      <w:r w:rsidRPr="00314FA4">
        <w:rPr>
          <w:rFonts w:ascii="Arial" w:eastAsia="Arial" w:hAnsi="Arial" w:cs="Arial"/>
        </w:rPr>
        <w:t>Prema Indeksu razvijenosti za 2021. godinu, objavljenom u izvještaju Socioekonomski pokazatelji po općinama Federalnog zavoda za programiranje razvoja, na 1. mjestu po rangu razvijenosti unutar Bosansko-podrinjskog kantona je i dalje Goražde, dok je na poslednjem mjestu i dalje općina Pale</w:t>
      </w:r>
      <w:r w:rsidR="003A7A2B" w:rsidRPr="00314FA4">
        <w:rPr>
          <w:rFonts w:ascii="Arial" w:eastAsia="Arial" w:hAnsi="Arial" w:cs="Arial"/>
        </w:rPr>
        <w:t xml:space="preserve"> u Federaciji BiH</w:t>
      </w:r>
      <w:r w:rsidRPr="00314FA4">
        <w:rPr>
          <w:rFonts w:ascii="Arial" w:eastAsia="Arial" w:hAnsi="Arial" w:cs="Arial"/>
        </w:rPr>
        <w:t xml:space="preserve">. </w:t>
      </w:r>
    </w:p>
    <w:p w:rsidR="00885611" w:rsidRPr="00314FA4" w:rsidRDefault="00885611" w:rsidP="00885611">
      <w:pPr>
        <w:spacing w:after="32"/>
        <w:rPr>
          <w:rFonts w:ascii="Arial" w:eastAsia="Arial" w:hAnsi="Arial" w:cs="Arial"/>
        </w:rPr>
      </w:pPr>
      <w:r w:rsidRPr="00314FA4">
        <w:rPr>
          <w:rFonts w:ascii="Arial" w:eastAsia="Arial" w:hAnsi="Arial" w:cs="Arial"/>
        </w:rPr>
        <w:t xml:space="preserve"> </w:t>
      </w:r>
    </w:p>
    <w:p w:rsidR="00885611" w:rsidRPr="00314FA4" w:rsidRDefault="00885611" w:rsidP="00885611">
      <w:pPr>
        <w:spacing w:after="5" w:line="287" w:lineRule="auto"/>
        <w:ind w:left="9" w:hanging="10"/>
        <w:jc w:val="both"/>
        <w:rPr>
          <w:rFonts w:ascii="Arial" w:eastAsia="Arial" w:hAnsi="Arial" w:cs="Arial"/>
        </w:rPr>
      </w:pPr>
      <w:r w:rsidRPr="00314FA4">
        <w:rPr>
          <w:rFonts w:ascii="Arial" w:eastAsia="Arial" w:hAnsi="Arial" w:cs="Arial"/>
        </w:rPr>
        <w:t>Prema izračunu indikatora “Porezi na dohotke fizičkih lica” FZZPR na osnovu podataka Porezne uprave FBiH, u 2021. godini u Federaciji BiH, prikupljeni porezi na dohotke fizičkih lica po različitim poreskim osnovama</w:t>
      </w:r>
      <w:r w:rsidRPr="00314FA4">
        <w:rPr>
          <w:rFonts w:ascii="Arial" w:eastAsia="Arial" w:hAnsi="Arial" w:cs="Arial"/>
          <w:vertAlign w:val="superscript"/>
        </w:rPr>
        <w:footnoteReference w:id="2"/>
      </w:r>
      <w:r w:rsidRPr="00314FA4">
        <w:rPr>
          <w:rFonts w:ascii="Arial" w:eastAsia="Arial" w:hAnsi="Arial" w:cs="Arial"/>
        </w:rPr>
        <w:t xml:space="preserve"> iznose 530.286 hilj. KM, što je u odnosu na prethodnu godinu više za 17,3% (prihodi u 2020. godini su iznosili 452.029 hilj. KM). Ovaj pokazatelj mjeren po glavi stanovnika (prisutni broj stanovnika) u FBiH iznosi prosječno 245 KM i viši je za 23,8% u odnosu na prethodnu godinu. </w:t>
      </w:r>
    </w:p>
    <w:p w:rsidR="00885611" w:rsidRPr="00314FA4" w:rsidRDefault="00885611" w:rsidP="00885611">
      <w:pPr>
        <w:spacing w:after="24"/>
        <w:rPr>
          <w:rFonts w:ascii="Arial" w:eastAsia="Arial" w:hAnsi="Arial" w:cs="Arial"/>
        </w:rPr>
      </w:pPr>
      <w:r w:rsidRPr="00314FA4">
        <w:rPr>
          <w:rFonts w:ascii="Arial" w:eastAsia="Arial" w:hAnsi="Arial" w:cs="Arial"/>
        </w:rPr>
        <w:t xml:space="preserve"> </w:t>
      </w:r>
    </w:p>
    <w:p w:rsidR="00885611" w:rsidRPr="00314FA4" w:rsidRDefault="00885611" w:rsidP="00885611">
      <w:pPr>
        <w:spacing w:after="5" w:line="287" w:lineRule="auto"/>
        <w:ind w:left="9" w:hanging="10"/>
        <w:jc w:val="both"/>
        <w:rPr>
          <w:rFonts w:ascii="Arial" w:eastAsia="Arial" w:hAnsi="Arial" w:cs="Arial"/>
        </w:rPr>
      </w:pPr>
      <w:r w:rsidRPr="00314FA4">
        <w:rPr>
          <w:rFonts w:ascii="Arial" w:eastAsia="Arial" w:hAnsi="Arial" w:cs="Arial"/>
        </w:rPr>
        <w:t xml:space="preserve">U Bosansko - podrinjskom kantonu u 2021. godini prikupljeni su porezi na dohotke fizičkih lica u iznosu od 6,3 </w:t>
      </w:r>
      <w:proofErr w:type="gramStart"/>
      <w:r w:rsidRPr="00314FA4">
        <w:rPr>
          <w:rFonts w:ascii="Arial" w:eastAsia="Arial" w:hAnsi="Arial" w:cs="Arial"/>
        </w:rPr>
        <w:t>mil</w:t>
      </w:r>
      <w:proofErr w:type="gramEnd"/>
      <w:r w:rsidRPr="00314FA4">
        <w:rPr>
          <w:rFonts w:ascii="Arial" w:eastAsia="Arial" w:hAnsi="Arial" w:cs="Arial"/>
        </w:rPr>
        <w:t xml:space="preserve">. KM, što je u odnosu na prethodnu godinu više za 30,0%.  </w:t>
      </w:r>
    </w:p>
    <w:p w:rsidR="00885611" w:rsidRPr="00314FA4" w:rsidRDefault="00885611" w:rsidP="00885611">
      <w:pPr>
        <w:spacing w:after="48"/>
        <w:rPr>
          <w:rFonts w:ascii="Arial" w:eastAsia="Arial" w:hAnsi="Arial" w:cs="Arial"/>
        </w:rPr>
      </w:pPr>
      <w:r w:rsidRPr="00314FA4">
        <w:rPr>
          <w:rFonts w:ascii="Arial" w:eastAsia="Arial" w:hAnsi="Arial" w:cs="Arial"/>
        </w:rPr>
        <w:t xml:space="preserve"> </w:t>
      </w:r>
    </w:p>
    <w:p w:rsidR="00885611" w:rsidRPr="00314FA4" w:rsidRDefault="00885611" w:rsidP="00885611">
      <w:pPr>
        <w:spacing w:after="5" w:line="287" w:lineRule="auto"/>
        <w:ind w:left="9" w:hanging="10"/>
        <w:jc w:val="both"/>
        <w:rPr>
          <w:rFonts w:ascii="Arial" w:eastAsia="Arial" w:hAnsi="Arial" w:cs="Arial"/>
        </w:rPr>
      </w:pPr>
      <w:r w:rsidRPr="00314FA4">
        <w:rPr>
          <w:rFonts w:ascii="Arial" w:eastAsia="Arial" w:hAnsi="Arial" w:cs="Arial"/>
        </w:rPr>
        <w:t>Najviši porezi na dohotke fizičkih lica ostvareni su u Goraždu u izno</w:t>
      </w:r>
      <w:r w:rsidR="003A7A2B" w:rsidRPr="00314FA4">
        <w:rPr>
          <w:rFonts w:ascii="Arial" w:eastAsia="Arial" w:hAnsi="Arial" w:cs="Arial"/>
        </w:rPr>
        <w:t xml:space="preserve">su od 5,7 </w:t>
      </w:r>
      <w:proofErr w:type="gramStart"/>
      <w:r w:rsidR="003A7A2B" w:rsidRPr="00314FA4">
        <w:rPr>
          <w:rFonts w:ascii="Arial" w:eastAsia="Arial" w:hAnsi="Arial" w:cs="Arial"/>
        </w:rPr>
        <w:t>mil</w:t>
      </w:r>
      <w:proofErr w:type="gramEnd"/>
      <w:r w:rsidR="003A7A2B" w:rsidRPr="00314FA4">
        <w:rPr>
          <w:rFonts w:ascii="Arial" w:eastAsia="Arial" w:hAnsi="Arial" w:cs="Arial"/>
        </w:rPr>
        <w:t>. KM, a najniži u O</w:t>
      </w:r>
      <w:r w:rsidRPr="00314FA4">
        <w:rPr>
          <w:rFonts w:ascii="Arial" w:eastAsia="Arial" w:hAnsi="Arial" w:cs="Arial"/>
        </w:rPr>
        <w:t>pćini Pale</w:t>
      </w:r>
      <w:r w:rsidR="003A7A2B" w:rsidRPr="00314FA4">
        <w:rPr>
          <w:rFonts w:ascii="Arial" w:eastAsia="Arial" w:hAnsi="Arial" w:cs="Arial"/>
        </w:rPr>
        <w:t xml:space="preserve"> uFederaciji BiH</w:t>
      </w:r>
      <w:r w:rsidRPr="00314FA4">
        <w:rPr>
          <w:rFonts w:ascii="Arial" w:eastAsia="Arial" w:hAnsi="Arial" w:cs="Arial"/>
        </w:rPr>
        <w:t xml:space="preserve"> 81 hilj. KM. </w:t>
      </w:r>
    </w:p>
    <w:p w:rsidR="00885611" w:rsidRPr="00314FA4" w:rsidRDefault="00885611" w:rsidP="00885611">
      <w:pPr>
        <w:spacing w:after="22"/>
        <w:rPr>
          <w:rFonts w:ascii="Arial" w:eastAsia="Arial" w:hAnsi="Arial" w:cs="Arial"/>
        </w:rPr>
      </w:pPr>
      <w:r w:rsidRPr="00314FA4">
        <w:rPr>
          <w:rFonts w:ascii="Arial" w:eastAsia="Arial" w:hAnsi="Arial" w:cs="Arial"/>
        </w:rPr>
        <w:t xml:space="preserve"> </w:t>
      </w:r>
    </w:p>
    <w:p w:rsidR="00885611" w:rsidRPr="00314FA4" w:rsidRDefault="00885611" w:rsidP="008C6C28">
      <w:pPr>
        <w:spacing w:after="5" w:line="287" w:lineRule="auto"/>
        <w:ind w:left="9" w:hanging="10"/>
        <w:jc w:val="both"/>
        <w:rPr>
          <w:rFonts w:ascii="Arial" w:eastAsia="Arial" w:hAnsi="Arial" w:cs="Arial"/>
        </w:rPr>
      </w:pPr>
      <w:r w:rsidRPr="00314FA4">
        <w:rPr>
          <w:rFonts w:ascii="Arial" w:eastAsia="Arial" w:hAnsi="Arial" w:cs="Arial"/>
        </w:rPr>
        <w:t>Porezi na dohotke fizičkih lica po glavi stanovnika (prisutni broj stanovnika) u Bosanskopodrinjskom kantonu iznose 283 KM, što je u odnosu na prethodnu godinu više za 32,2% i što je 116,0% u odnosu na prosjek FBiH.   Najviši porezi na dohotke fizičkih lica po glavi stanovnika u BPK ostvareni su u Goraždu u</w:t>
      </w:r>
      <w:r w:rsidR="001A7162" w:rsidRPr="00314FA4">
        <w:rPr>
          <w:rFonts w:ascii="Arial" w:eastAsia="Arial" w:hAnsi="Arial" w:cs="Arial"/>
        </w:rPr>
        <w:t xml:space="preserve"> iznosu od 292 KM, a najniži u O</w:t>
      </w:r>
      <w:r w:rsidRPr="00314FA4">
        <w:rPr>
          <w:rFonts w:ascii="Arial" w:eastAsia="Arial" w:hAnsi="Arial" w:cs="Arial"/>
        </w:rPr>
        <w:t xml:space="preserve">pćini Pale </w:t>
      </w:r>
      <w:r w:rsidR="001A7162" w:rsidRPr="00314FA4">
        <w:rPr>
          <w:rFonts w:ascii="Arial" w:eastAsia="Arial" w:hAnsi="Arial" w:cs="Arial"/>
        </w:rPr>
        <w:t xml:space="preserve">u Federaciji BiH </w:t>
      </w:r>
      <w:r w:rsidRPr="00314FA4">
        <w:rPr>
          <w:rFonts w:ascii="Arial" w:eastAsia="Arial" w:hAnsi="Arial" w:cs="Arial"/>
        </w:rPr>
        <w:t xml:space="preserve">u iznosu od 102 KM. </w:t>
      </w:r>
    </w:p>
    <w:p w:rsidR="00D74819" w:rsidRPr="00314FA4" w:rsidRDefault="00D74819" w:rsidP="008C6C28">
      <w:pPr>
        <w:spacing w:after="5" w:line="287" w:lineRule="auto"/>
        <w:ind w:left="9" w:hanging="10"/>
        <w:jc w:val="both"/>
        <w:rPr>
          <w:rFonts w:ascii="Arial" w:eastAsia="Arial" w:hAnsi="Arial" w:cs="Arial"/>
        </w:rPr>
      </w:pPr>
    </w:p>
    <w:p w:rsidR="00D74819" w:rsidRPr="00314FA4" w:rsidRDefault="00D74819" w:rsidP="008C6C28">
      <w:pPr>
        <w:spacing w:after="5" w:line="287" w:lineRule="auto"/>
        <w:ind w:left="9" w:hanging="10"/>
        <w:jc w:val="both"/>
        <w:rPr>
          <w:rFonts w:ascii="Arial" w:eastAsia="Arial" w:hAnsi="Arial" w:cs="Arial"/>
        </w:rPr>
      </w:pPr>
    </w:p>
    <w:p w:rsidR="00D74819" w:rsidRPr="00314FA4" w:rsidRDefault="00D74819" w:rsidP="008C6C28">
      <w:pPr>
        <w:spacing w:after="5" w:line="287" w:lineRule="auto"/>
        <w:ind w:left="9" w:hanging="10"/>
        <w:jc w:val="both"/>
        <w:rPr>
          <w:rFonts w:ascii="Arial" w:eastAsia="Arial" w:hAnsi="Arial" w:cs="Arial"/>
        </w:rPr>
      </w:pPr>
    </w:p>
    <w:p w:rsidR="00885611" w:rsidRPr="00314FA4" w:rsidRDefault="00885611" w:rsidP="00885611">
      <w:pPr>
        <w:spacing w:after="50"/>
        <w:ind w:left="197" w:right="209" w:hanging="10"/>
        <w:jc w:val="center"/>
        <w:rPr>
          <w:rFonts w:ascii="Arial" w:eastAsia="Arial" w:hAnsi="Arial" w:cs="Arial"/>
        </w:rPr>
      </w:pPr>
      <w:r w:rsidRPr="00314FA4">
        <w:rPr>
          <w:rFonts w:ascii="Arial" w:eastAsia="Arial" w:hAnsi="Arial" w:cs="Arial"/>
          <w:sz w:val="18"/>
        </w:rPr>
        <w:t xml:space="preserve">Grafikon 48. </w:t>
      </w:r>
      <w:r w:rsidRPr="00314FA4">
        <w:rPr>
          <w:rFonts w:ascii="Arial" w:eastAsia="Arial" w:hAnsi="Arial" w:cs="Arial"/>
          <w:b/>
          <w:sz w:val="18"/>
        </w:rPr>
        <w:t>Porezi na dohotke fizičkih lica po općinama BPK 2021</w:t>
      </w:r>
      <w:r w:rsidRPr="00314FA4">
        <w:rPr>
          <w:rFonts w:ascii="Arial" w:eastAsia="Arial" w:hAnsi="Arial" w:cs="Arial"/>
          <w:i/>
          <w:sz w:val="18"/>
        </w:rPr>
        <w:t xml:space="preserve"> </w:t>
      </w:r>
    </w:p>
    <w:p w:rsidR="00885611" w:rsidRPr="00314FA4" w:rsidRDefault="00885611" w:rsidP="00885611">
      <w:pPr>
        <w:spacing w:after="0"/>
        <w:ind w:right="1657"/>
        <w:rPr>
          <w:rFonts w:ascii="Arial" w:eastAsia="Arial" w:hAnsi="Arial" w:cs="Arial"/>
        </w:rPr>
      </w:pPr>
      <w:r w:rsidRPr="00314FA4">
        <w:rPr>
          <w:rFonts w:ascii="Arial" w:eastAsia="Arial" w:hAnsi="Arial" w:cs="Arial"/>
        </w:rPr>
        <w:t xml:space="preserve"> </w:t>
      </w:r>
    </w:p>
    <w:p w:rsidR="00885611" w:rsidRPr="00314FA4" w:rsidRDefault="00885611" w:rsidP="00885611">
      <w:pPr>
        <w:spacing w:after="40"/>
        <w:ind w:left="1642"/>
        <w:rPr>
          <w:rFonts w:ascii="Arial" w:eastAsia="Arial" w:hAnsi="Arial" w:cs="Arial"/>
        </w:rPr>
      </w:pPr>
      <w:r w:rsidRPr="00314FA4">
        <w:rPr>
          <w:rFonts w:ascii="Arial" w:eastAsia="Arial" w:hAnsi="Arial" w:cs="Arial"/>
          <w:noProof/>
        </w:rPr>
        <w:drawing>
          <wp:inline distT="0" distB="0" distL="0" distR="0" wp14:anchorId="5E64F7DC" wp14:editId="62859B72">
            <wp:extent cx="3938270" cy="281051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36830" name="Picture 36830"/>
                    <pic:cNvPicPr/>
                  </pic:nvPicPr>
                  <pic:blipFill>
                    <a:blip r:embed="rId15"/>
                    <a:stretch>
                      <a:fillRect/>
                    </a:stretch>
                  </pic:blipFill>
                  <pic:spPr>
                    <a:xfrm>
                      <a:off x="0" y="0"/>
                      <a:ext cx="3938270" cy="2810510"/>
                    </a:xfrm>
                    <a:prstGeom prst="rect">
                      <a:avLst/>
                    </a:prstGeom>
                  </pic:spPr>
                </pic:pic>
              </a:graphicData>
            </a:graphic>
          </wp:inline>
        </w:drawing>
      </w:r>
    </w:p>
    <w:p w:rsidR="00885611" w:rsidRPr="00314FA4" w:rsidRDefault="00885611" w:rsidP="008C6C28">
      <w:pPr>
        <w:spacing w:after="0"/>
        <w:rPr>
          <w:rFonts w:ascii="Arial" w:eastAsia="Arial" w:hAnsi="Arial" w:cs="Arial"/>
          <w:sz w:val="16"/>
        </w:rPr>
      </w:pPr>
      <w:r w:rsidRPr="00314FA4">
        <w:rPr>
          <w:rFonts w:ascii="Arial" w:eastAsia="Arial" w:hAnsi="Arial" w:cs="Arial"/>
        </w:rPr>
        <w:t xml:space="preserve"> </w:t>
      </w:r>
      <w:r w:rsidRPr="00314FA4">
        <w:rPr>
          <w:rFonts w:ascii="Arial" w:eastAsia="Arial" w:hAnsi="Arial" w:cs="Arial"/>
          <w:sz w:val="16"/>
        </w:rPr>
        <w:t>Izvor: (Porezna uprava Federacije BiH, 2021</w:t>
      </w:r>
      <w:proofErr w:type="gramStart"/>
      <w:r w:rsidRPr="00314FA4">
        <w:rPr>
          <w:rFonts w:ascii="Arial" w:eastAsia="Arial" w:hAnsi="Arial" w:cs="Arial"/>
          <w:sz w:val="16"/>
        </w:rPr>
        <w:t xml:space="preserve">),  </w:t>
      </w:r>
      <w:r w:rsidR="00657B10" w:rsidRPr="00314FA4">
        <w:rPr>
          <w:rFonts w:ascii="Arial" w:eastAsia="Arial" w:hAnsi="Arial" w:cs="Arial"/>
          <w:sz w:val="16"/>
        </w:rPr>
        <w:t>za</w:t>
      </w:r>
      <w:proofErr w:type="gramEnd"/>
      <w:r w:rsidRPr="00314FA4">
        <w:rPr>
          <w:rFonts w:ascii="Arial" w:eastAsia="Arial" w:hAnsi="Arial" w:cs="Arial"/>
          <w:sz w:val="16"/>
        </w:rPr>
        <w:t xml:space="preserve"> stanovništvo - (Feder</w:t>
      </w:r>
      <w:r w:rsidR="00657B10" w:rsidRPr="00314FA4">
        <w:rPr>
          <w:rFonts w:ascii="Arial" w:eastAsia="Arial" w:hAnsi="Arial" w:cs="Arial"/>
          <w:sz w:val="16"/>
        </w:rPr>
        <w:t>alni zavod za statistiku, 2021)</w:t>
      </w:r>
      <w:r w:rsidRPr="00314FA4">
        <w:rPr>
          <w:rFonts w:ascii="Arial" w:eastAsia="Arial" w:hAnsi="Arial" w:cs="Arial"/>
          <w:sz w:val="16"/>
        </w:rPr>
        <w:t xml:space="preserve">Obrada: Federalni </w:t>
      </w:r>
      <w:r w:rsidR="003A7A2B" w:rsidRPr="00314FA4">
        <w:rPr>
          <w:rFonts w:ascii="Arial" w:eastAsia="Arial" w:hAnsi="Arial" w:cs="Arial"/>
          <w:sz w:val="16"/>
        </w:rPr>
        <w:t>Z</w:t>
      </w:r>
      <w:r w:rsidRPr="00314FA4">
        <w:rPr>
          <w:rFonts w:ascii="Arial" w:eastAsia="Arial" w:hAnsi="Arial" w:cs="Arial"/>
          <w:sz w:val="16"/>
        </w:rPr>
        <w:t xml:space="preserve">avod za programiranje razvoja </w:t>
      </w:r>
    </w:p>
    <w:p w:rsidR="001A7162" w:rsidRPr="00314FA4" w:rsidRDefault="001A7162" w:rsidP="003A7A2B">
      <w:pPr>
        <w:tabs>
          <w:tab w:val="left" w:pos="142"/>
        </w:tabs>
        <w:spacing w:after="5" w:line="266" w:lineRule="auto"/>
        <w:ind w:left="9" w:right="2873" w:hanging="10"/>
        <w:jc w:val="both"/>
        <w:rPr>
          <w:rFonts w:ascii="Arial" w:eastAsia="Arial" w:hAnsi="Arial" w:cs="Arial"/>
        </w:rPr>
      </w:pPr>
    </w:p>
    <w:p w:rsidR="00885611" w:rsidRPr="00314FA4" w:rsidRDefault="00885611" w:rsidP="00885611">
      <w:pPr>
        <w:spacing w:after="5" w:line="287" w:lineRule="auto"/>
        <w:ind w:left="9" w:hanging="10"/>
        <w:jc w:val="both"/>
        <w:rPr>
          <w:rFonts w:ascii="Arial" w:eastAsia="Arial" w:hAnsi="Arial" w:cs="Arial"/>
        </w:rPr>
      </w:pPr>
      <w:r w:rsidRPr="00314FA4">
        <w:rPr>
          <w:rFonts w:ascii="Arial" w:eastAsia="Arial" w:hAnsi="Arial" w:cs="Arial"/>
        </w:rPr>
        <w:t xml:space="preserve">U 2021. godini u FBiH ostvaren je prosječan mjesečni broj zaposlenih u iznosu od 525.397, što je u odnosu na isti period prethodne godine više za 1,0% ili 5.235.  </w:t>
      </w:r>
    </w:p>
    <w:p w:rsidR="00885611" w:rsidRPr="00314FA4" w:rsidRDefault="00885611" w:rsidP="00885611">
      <w:pPr>
        <w:spacing w:after="33"/>
        <w:rPr>
          <w:rFonts w:ascii="Arial" w:eastAsia="Arial" w:hAnsi="Arial" w:cs="Arial"/>
        </w:rPr>
      </w:pPr>
      <w:r w:rsidRPr="00314FA4">
        <w:rPr>
          <w:rFonts w:ascii="Arial" w:eastAsia="Arial" w:hAnsi="Arial" w:cs="Arial"/>
        </w:rPr>
        <w:t xml:space="preserve"> </w:t>
      </w:r>
    </w:p>
    <w:p w:rsidR="00885611" w:rsidRPr="00314FA4" w:rsidRDefault="00885611" w:rsidP="00885611">
      <w:pPr>
        <w:spacing w:after="5" w:line="287" w:lineRule="auto"/>
        <w:ind w:left="9" w:hanging="10"/>
        <w:jc w:val="both"/>
        <w:rPr>
          <w:rFonts w:ascii="Arial" w:eastAsia="Arial" w:hAnsi="Arial" w:cs="Arial"/>
        </w:rPr>
      </w:pPr>
      <w:r w:rsidRPr="00314FA4">
        <w:rPr>
          <w:rFonts w:ascii="Arial" w:eastAsia="Arial" w:hAnsi="Arial" w:cs="Arial"/>
        </w:rPr>
        <w:t xml:space="preserve">U BPK broj zaposlenih iznosi 6.913, što je u odnosu na prethodnu godinu više za 31 ili 0,5%. Broj zaposlenih u BPK učestvuje u ukupnom broju zaposlenih u FBiH sa 1,3%. </w:t>
      </w:r>
    </w:p>
    <w:p w:rsidR="00885611" w:rsidRPr="00314FA4" w:rsidRDefault="00885611" w:rsidP="00885611">
      <w:pPr>
        <w:spacing w:after="37"/>
        <w:rPr>
          <w:rFonts w:ascii="Arial" w:eastAsia="Arial" w:hAnsi="Arial" w:cs="Arial"/>
        </w:rPr>
      </w:pPr>
      <w:r w:rsidRPr="00314FA4">
        <w:rPr>
          <w:rFonts w:ascii="Arial" w:eastAsia="Arial" w:hAnsi="Arial" w:cs="Arial"/>
        </w:rPr>
        <w:t xml:space="preserve"> </w:t>
      </w:r>
    </w:p>
    <w:p w:rsidR="00885611" w:rsidRPr="00314FA4" w:rsidRDefault="00885611" w:rsidP="00885611">
      <w:pPr>
        <w:spacing w:after="5" w:line="287" w:lineRule="auto"/>
        <w:ind w:left="9" w:hanging="10"/>
        <w:jc w:val="both"/>
        <w:rPr>
          <w:rFonts w:ascii="Arial" w:eastAsia="Arial" w:hAnsi="Arial" w:cs="Arial"/>
        </w:rPr>
      </w:pPr>
      <w:r w:rsidRPr="00314FA4">
        <w:rPr>
          <w:rFonts w:ascii="Arial" w:eastAsia="Arial" w:hAnsi="Arial" w:cs="Arial"/>
        </w:rPr>
        <w:t xml:space="preserve">Smanjenje broja zaposlenih zabilježeno je u općini Pale za 11,5%, i u općini Foča za 6,3%, dok je povećanje zabilježeno u Goraždu za 0,9% u odnosu na prethodnu godinu. </w:t>
      </w:r>
    </w:p>
    <w:p w:rsidR="00885611" w:rsidRPr="00314FA4" w:rsidRDefault="00885611" w:rsidP="00885611">
      <w:pPr>
        <w:spacing w:after="46"/>
        <w:rPr>
          <w:rFonts w:ascii="Arial" w:eastAsia="Arial" w:hAnsi="Arial" w:cs="Arial"/>
        </w:rPr>
      </w:pPr>
      <w:r w:rsidRPr="00314FA4">
        <w:rPr>
          <w:rFonts w:ascii="Arial" w:eastAsia="Arial" w:hAnsi="Arial" w:cs="Arial"/>
        </w:rPr>
        <w:t xml:space="preserve"> </w:t>
      </w:r>
    </w:p>
    <w:p w:rsidR="00885611" w:rsidRPr="00314FA4" w:rsidRDefault="00885611" w:rsidP="00885611">
      <w:pPr>
        <w:spacing w:after="0"/>
        <w:ind w:left="197" w:right="246" w:hanging="10"/>
        <w:jc w:val="center"/>
        <w:rPr>
          <w:rFonts w:ascii="Arial" w:eastAsia="Arial" w:hAnsi="Arial" w:cs="Arial"/>
        </w:rPr>
      </w:pPr>
      <w:r w:rsidRPr="00314FA4">
        <w:rPr>
          <w:rFonts w:ascii="Arial" w:eastAsia="Arial" w:hAnsi="Arial" w:cs="Arial"/>
          <w:sz w:val="18"/>
        </w:rPr>
        <w:t xml:space="preserve">Grafikon 49. </w:t>
      </w:r>
      <w:r w:rsidRPr="00314FA4">
        <w:rPr>
          <w:rFonts w:ascii="Arial" w:eastAsia="Arial" w:hAnsi="Arial" w:cs="Arial"/>
          <w:b/>
          <w:sz w:val="18"/>
        </w:rPr>
        <w:t>Prosječan broj zaposlenih i radno sposobno stanovništvo po općinama BPK 2021</w:t>
      </w:r>
      <w:r w:rsidRPr="00314FA4">
        <w:rPr>
          <w:rFonts w:ascii="Arial" w:eastAsia="Arial" w:hAnsi="Arial" w:cs="Arial"/>
          <w:i/>
        </w:rPr>
        <w:t xml:space="preserve"> </w:t>
      </w:r>
    </w:p>
    <w:p w:rsidR="00885611" w:rsidRPr="00314FA4" w:rsidRDefault="00885611" w:rsidP="00885611">
      <w:pPr>
        <w:spacing w:after="0"/>
        <w:ind w:left="1702"/>
        <w:rPr>
          <w:rFonts w:ascii="Arial" w:eastAsia="Arial" w:hAnsi="Arial" w:cs="Arial"/>
        </w:rPr>
      </w:pPr>
      <w:r w:rsidRPr="00314FA4">
        <w:rPr>
          <w:rFonts w:ascii="Arial" w:eastAsia="Arial" w:hAnsi="Arial" w:cs="Arial"/>
          <w:noProof/>
        </w:rPr>
        <w:drawing>
          <wp:inline distT="0" distB="0" distL="0" distR="0" wp14:anchorId="3AA94D2A" wp14:editId="0C021B8E">
            <wp:extent cx="3858895" cy="1733550"/>
            <wp:effectExtent l="0" t="0" r="8255" b="0"/>
            <wp:docPr id="15" name="Picture 15"/>
            <wp:cNvGraphicFramePr/>
            <a:graphic xmlns:a="http://schemas.openxmlformats.org/drawingml/2006/main">
              <a:graphicData uri="http://schemas.openxmlformats.org/drawingml/2006/picture">
                <pic:pic xmlns:pic="http://schemas.openxmlformats.org/drawingml/2006/picture">
                  <pic:nvPicPr>
                    <pic:cNvPr id="37044" name="Picture 37044"/>
                    <pic:cNvPicPr/>
                  </pic:nvPicPr>
                  <pic:blipFill>
                    <a:blip r:embed="rId16"/>
                    <a:stretch>
                      <a:fillRect/>
                    </a:stretch>
                  </pic:blipFill>
                  <pic:spPr>
                    <a:xfrm>
                      <a:off x="0" y="0"/>
                      <a:ext cx="3858895" cy="1733550"/>
                    </a:xfrm>
                    <a:prstGeom prst="rect">
                      <a:avLst/>
                    </a:prstGeom>
                  </pic:spPr>
                </pic:pic>
              </a:graphicData>
            </a:graphic>
          </wp:inline>
        </w:drawing>
      </w:r>
    </w:p>
    <w:p w:rsidR="00885611" w:rsidRPr="00314FA4" w:rsidRDefault="00885611" w:rsidP="0097123B">
      <w:pPr>
        <w:spacing w:after="33" w:line="266" w:lineRule="auto"/>
        <w:ind w:left="2136" w:right="-138" w:hanging="10"/>
        <w:rPr>
          <w:rFonts w:ascii="Arial" w:eastAsia="Arial" w:hAnsi="Arial" w:cs="Arial"/>
        </w:rPr>
      </w:pPr>
      <w:r w:rsidRPr="00314FA4">
        <w:rPr>
          <w:rFonts w:ascii="Arial" w:eastAsia="Arial" w:hAnsi="Arial" w:cs="Arial"/>
          <w:sz w:val="16"/>
        </w:rPr>
        <w:t>Izvor podataka: (Federalni zavod za statistiku, 2021)</w:t>
      </w:r>
      <w:r w:rsidRPr="00314FA4">
        <w:rPr>
          <w:rFonts w:ascii="Arial" w:eastAsia="Arial" w:hAnsi="Arial" w:cs="Arial"/>
        </w:rPr>
        <w:t xml:space="preserve"> </w:t>
      </w:r>
      <w:r w:rsidRPr="00314FA4">
        <w:rPr>
          <w:rFonts w:ascii="Arial" w:eastAsia="Arial" w:hAnsi="Arial" w:cs="Arial"/>
          <w:sz w:val="16"/>
        </w:rPr>
        <w:t xml:space="preserve">Obrada: Federalni zavod za programiranje razvoja </w:t>
      </w:r>
    </w:p>
    <w:p w:rsidR="00885611" w:rsidRPr="00314FA4" w:rsidRDefault="00885611" w:rsidP="00657B10">
      <w:pPr>
        <w:spacing w:after="19"/>
        <w:rPr>
          <w:rFonts w:ascii="Arial" w:eastAsia="Arial" w:hAnsi="Arial" w:cs="Arial"/>
        </w:rPr>
      </w:pPr>
      <w:r w:rsidRPr="00314FA4">
        <w:rPr>
          <w:rFonts w:ascii="Arial" w:eastAsia="Arial" w:hAnsi="Arial" w:cs="Arial"/>
        </w:rPr>
        <w:lastRenderedPageBreak/>
        <w:t xml:space="preserve">Stopa registrovane zaposlenosti u BPK u 2021. godini (zvanično registrovan broj zaposlenih u odnosu na radno sposobno stanovništvo) iznosi 47,3% što je u odnosu na prethodnu godinu više za 1,7 procentna poena (stopa zaposlenosti u FBiH iznosi 35,0%). </w:t>
      </w:r>
    </w:p>
    <w:p w:rsidR="00885611" w:rsidRPr="00314FA4" w:rsidRDefault="00885611" w:rsidP="00657B10">
      <w:pPr>
        <w:spacing w:after="16"/>
        <w:rPr>
          <w:rFonts w:ascii="Arial" w:eastAsia="Arial" w:hAnsi="Arial" w:cs="Arial"/>
        </w:rPr>
      </w:pPr>
      <w:r w:rsidRPr="00314FA4">
        <w:rPr>
          <w:rFonts w:ascii="Arial" w:eastAsia="Arial" w:hAnsi="Arial" w:cs="Arial"/>
        </w:rPr>
        <w:t xml:space="preserve">  </w:t>
      </w:r>
    </w:p>
    <w:p w:rsidR="00885611" w:rsidRPr="00314FA4" w:rsidRDefault="00885611" w:rsidP="00885611">
      <w:pPr>
        <w:spacing w:after="2"/>
        <w:ind w:left="1280" w:right="600" w:hanging="10"/>
        <w:rPr>
          <w:rFonts w:ascii="Arial" w:eastAsia="Arial" w:hAnsi="Arial" w:cs="Arial"/>
        </w:rPr>
      </w:pPr>
      <w:r w:rsidRPr="00314FA4">
        <w:rPr>
          <w:rFonts w:ascii="Arial" w:eastAsia="Arial" w:hAnsi="Arial" w:cs="Arial"/>
          <w:sz w:val="18"/>
        </w:rPr>
        <w:t xml:space="preserve">Grafikon 50. </w:t>
      </w:r>
      <w:r w:rsidRPr="00314FA4">
        <w:rPr>
          <w:rFonts w:ascii="Arial" w:eastAsia="Arial" w:hAnsi="Arial" w:cs="Arial"/>
          <w:b/>
          <w:sz w:val="18"/>
        </w:rPr>
        <w:t>Stopa zaposlenosti i stopa aktivnosti stanovništva po općinama BPK 2021</w:t>
      </w:r>
      <w:r w:rsidRPr="00314FA4">
        <w:rPr>
          <w:rFonts w:ascii="Arial" w:eastAsia="Arial" w:hAnsi="Arial" w:cs="Arial"/>
          <w:i/>
        </w:rPr>
        <w:t xml:space="preserve"> </w:t>
      </w:r>
    </w:p>
    <w:p w:rsidR="00885611" w:rsidRPr="00314FA4" w:rsidRDefault="00885611" w:rsidP="00885611">
      <w:pPr>
        <w:spacing w:after="0"/>
        <w:ind w:left="1987"/>
        <w:rPr>
          <w:rFonts w:ascii="Arial" w:eastAsia="Arial" w:hAnsi="Arial" w:cs="Arial"/>
        </w:rPr>
      </w:pPr>
      <w:r w:rsidRPr="00314FA4">
        <w:rPr>
          <w:rFonts w:ascii="Arial" w:eastAsia="Arial" w:hAnsi="Arial" w:cs="Arial"/>
          <w:noProof/>
        </w:rPr>
        <w:drawing>
          <wp:inline distT="0" distB="0" distL="0" distR="0" wp14:anchorId="47E7BB27" wp14:editId="20039339">
            <wp:extent cx="4152900" cy="1704975"/>
            <wp:effectExtent l="0" t="0" r="0" b="9525"/>
            <wp:docPr id="16" name="Picture 16"/>
            <wp:cNvGraphicFramePr/>
            <a:graphic xmlns:a="http://schemas.openxmlformats.org/drawingml/2006/main">
              <a:graphicData uri="http://schemas.openxmlformats.org/drawingml/2006/picture">
                <pic:pic xmlns:pic="http://schemas.openxmlformats.org/drawingml/2006/picture">
                  <pic:nvPicPr>
                    <pic:cNvPr id="37046" name="Picture 37046"/>
                    <pic:cNvPicPr/>
                  </pic:nvPicPr>
                  <pic:blipFill>
                    <a:blip r:embed="rId17"/>
                    <a:stretch>
                      <a:fillRect/>
                    </a:stretch>
                  </pic:blipFill>
                  <pic:spPr>
                    <a:xfrm>
                      <a:off x="0" y="0"/>
                      <a:ext cx="4152900" cy="1704975"/>
                    </a:xfrm>
                    <a:prstGeom prst="rect">
                      <a:avLst/>
                    </a:prstGeom>
                  </pic:spPr>
                </pic:pic>
              </a:graphicData>
            </a:graphic>
          </wp:inline>
        </w:drawing>
      </w:r>
    </w:p>
    <w:p w:rsidR="00885611" w:rsidRPr="00314FA4" w:rsidRDefault="00885611" w:rsidP="00885611">
      <w:pPr>
        <w:spacing w:after="21"/>
        <w:ind w:left="142" w:right="2003"/>
        <w:rPr>
          <w:rFonts w:ascii="Arial" w:eastAsia="Arial" w:hAnsi="Arial" w:cs="Arial"/>
        </w:rPr>
      </w:pPr>
      <w:r w:rsidRPr="00314FA4">
        <w:rPr>
          <w:rFonts w:ascii="Arial" w:eastAsia="Arial" w:hAnsi="Arial" w:cs="Arial"/>
          <w:sz w:val="16"/>
        </w:rPr>
        <w:t xml:space="preserve"> </w:t>
      </w:r>
    </w:p>
    <w:p w:rsidR="00885611" w:rsidRPr="00314FA4" w:rsidRDefault="00885611" w:rsidP="00885611">
      <w:pPr>
        <w:spacing w:after="62" w:line="266" w:lineRule="auto"/>
        <w:ind w:left="1570" w:hanging="10"/>
        <w:rPr>
          <w:rFonts w:ascii="Arial" w:eastAsia="Arial" w:hAnsi="Arial" w:cs="Arial"/>
        </w:rPr>
      </w:pPr>
      <w:r w:rsidRPr="00314FA4">
        <w:rPr>
          <w:rFonts w:ascii="Arial" w:eastAsia="Arial" w:hAnsi="Arial" w:cs="Arial"/>
          <w:sz w:val="16"/>
        </w:rPr>
        <w:t xml:space="preserve">Obrazloženje stavki koje ulaze u izračun stope zaposlenosti i stope aktivnosti pogledati na strani 8. </w:t>
      </w:r>
    </w:p>
    <w:p w:rsidR="00885611" w:rsidRPr="00314FA4" w:rsidRDefault="00885611" w:rsidP="00657B10">
      <w:pPr>
        <w:spacing w:after="19"/>
        <w:rPr>
          <w:rFonts w:ascii="Arial" w:eastAsia="Arial" w:hAnsi="Arial" w:cs="Arial"/>
        </w:rPr>
      </w:pPr>
      <w:r w:rsidRPr="00314FA4">
        <w:rPr>
          <w:rFonts w:ascii="Arial" w:eastAsia="Arial" w:hAnsi="Arial" w:cs="Arial"/>
        </w:rPr>
        <w:t xml:space="preserve"> </w:t>
      </w:r>
    </w:p>
    <w:p w:rsidR="00885611" w:rsidRPr="00314FA4" w:rsidRDefault="00885611" w:rsidP="00885611">
      <w:pPr>
        <w:spacing w:after="5" w:line="287" w:lineRule="auto"/>
        <w:ind w:left="9" w:hanging="10"/>
        <w:jc w:val="both"/>
        <w:rPr>
          <w:rFonts w:ascii="Arial" w:eastAsia="Arial" w:hAnsi="Arial" w:cs="Arial"/>
        </w:rPr>
      </w:pPr>
      <w:r w:rsidRPr="00314FA4">
        <w:rPr>
          <w:rFonts w:ascii="Arial" w:eastAsia="Arial" w:hAnsi="Arial" w:cs="Arial"/>
        </w:rPr>
        <w:t xml:space="preserve">U 2021. godini u Federaciji BiH prosječan mjesečni broj nezaposlenih lica iznosi 311.679 što je manje za 9.902 ili 3,1% u odnosu na 2020. godinu. Registrovana nezaposlenost u BPK u 2021. godini iznosi 3.297 lica što je manje za 66 ili 2,0% u odnosu na prethodnu godinu. Udio nezaposlenih u BPK u ukupnom broju nezaposlenih u FBiH iznosi 1,1%.  </w:t>
      </w:r>
    </w:p>
    <w:p w:rsidR="00885611" w:rsidRPr="00314FA4" w:rsidRDefault="00885611" w:rsidP="00885611">
      <w:pPr>
        <w:spacing w:after="37"/>
        <w:rPr>
          <w:rFonts w:ascii="Arial" w:eastAsia="Arial" w:hAnsi="Arial" w:cs="Arial"/>
        </w:rPr>
      </w:pPr>
      <w:r w:rsidRPr="00314FA4">
        <w:rPr>
          <w:rFonts w:ascii="Arial" w:eastAsia="Arial" w:hAnsi="Arial" w:cs="Arial"/>
        </w:rPr>
        <w:t xml:space="preserve"> </w:t>
      </w:r>
    </w:p>
    <w:p w:rsidR="00885611" w:rsidRPr="00314FA4" w:rsidRDefault="00885611" w:rsidP="00885611">
      <w:pPr>
        <w:spacing w:after="5" w:line="287" w:lineRule="auto"/>
        <w:ind w:left="9" w:hanging="10"/>
        <w:jc w:val="both"/>
        <w:rPr>
          <w:rFonts w:ascii="Arial" w:eastAsia="Arial" w:hAnsi="Arial" w:cs="Arial"/>
        </w:rPr>
      </w:pPr>
      <w:r w:rsidRPr="00314FA4">
        <w:rPr>
          <w:rFonts w:ascii="Arial" w:eastAsia="Arial" w:hAnsi="Arial" w:cs="Arial"/>
        </w:rPr>
        <w:t xml:space="preserve">Najveći broj nezaposlenih lica registriran je u Goraždu (0,9% od ukupnog broja nezaposlenih u FBiH), dok je najmanji broj registrovan u općini Pale (0,04% od ukupnog broja nezaposlenih u FBiH). Smanjenje broja nezaposlenih registrirano je u skoro svim općinama BPK, najviše u općinama Pale za 3,7% i Goraždu za 2,4%, dok je jedino povećanje ostvareno u Foči za 2,4% u odnosu na prethodnu godinu. </w:t>
      </w:r>
    </w:p>
    <w:p w:rsidR="00885611" w:rsidRPr="00314FA4" w:rsidRDefault="00885611" w:rsidP="00885611">
      <w:pPr>
        <w:spacing w:after="25"/>
        <w:rPr>
          <w:rFonts w:ascii="Arial" w:eastAsia="Arial" w:hAnsi="Arial" w:cs="Arial"/>
        </w:rPr>
      </w:pPr>
      <w:r w:rsidRPr="00314FA4">
        <w:rPr>
          <w:rFonts w:ascii="Arial" w:eastAsia="Arial" w:hAnsi="Arial" w:cs="Arial"/>
        </w:rPr>
        <w:t xml:space="preserve"> </w:t>
      </w:r>
    </w:p>
    <w:p w:rsidR="00885611" w:rsidRPr="00314FA4" w:rsidRDefault="00885611" w:rsidP="00885611">
      <w:pPr>
        <w:spacing w:after="76" w:line="287" w:lineRule="auto"/>
        <w:ind w:left="9" w:hanging="10"/>
        <w:jc w:val="both"/>
        <w:rPr>
          <w:rFonts w:ascii="Arial" w:eastAsia="Arial" w:hAnsi="Arial" w:cs="Arial"/>
        </w:rPr>
      </w:pPr>
      <w:r w:rsidRPr="00314FA4">
        <w:rPr>
          <w:rFonts w:ascii="Arial" w:eastAsia="Arial" w:hAnsi="Arial" w:cs="Arial"/>
        </w:rPr>
        <w:t xml:space="preserve">Stopa nezaposlenosti u BPK u 2021. godini (zvanično registrovani broju nezaposlenih u odnosu na radnu snagu) iznosi 32,3%, što je u odnosu na prethodnu godinu manje za 0,5 procentnih poena (stopa nezaposlenosti u FBiH iznosi 37,2%). </w:t>
      </w:r>
    </w:p>
    <w:p w:rsidR="00885611" w:rsidRPr="00314FA4" w:rsidRDefault="00885611" w:rsidP="00885611">
      <w:pPr>
        <w:spacing w:after="0"/>
        <w:ind w:left="197" w:right="315" w:hanging="10"/>
        <w:jc w:val="center"/>
        <w:rPr>
          <w:rFonts w:ascii="Arial" w:eastAsia="Arial" w:hAnsi="Arial" w:cs="Arial"/>
        </w:rPr>
      </w:pPr>
      <w:r w:rsidRPr="00314FA4">
        <w:rPr>
          <w:rFonts w:ascii="Arial" w:eastAsia="Arial" w:hAnsi="Arial" w:cs="Arial"/>
          <w:sz w:val="18"/>
        </w:rPr>
        <w:t xml:space="preserve">Grafikon 51. </w:t>
      </w:r>
      <w:r w:rsidRPr="00314FA4">
        <w:rPr>
          <w:rFonts w:ascii="Arial" w:eastAsia="Arial" w:hAnsi="Arial" w:cs="Arial"/>
          <w:b/>
          <w:sz w:val="18"/>
        </w:rPr>
        <w:t>Nezaposleni, radna snaga i stopa nezaposlenosti po općinama BPK 2021</w:t>
      </w:r>
      <w:r w:rsidRPr="00314FA4">
        <w:rPr>
          <w:rFonts w:ascii="Arial" w:eastAsia="Arial" w:hAnsi="Arial" w:cs="Arial"/>
          <w:i/>
          <w:sz w:val="18"/>
        </w:rPr>
        <w:t xml:space="preserve"> </w:t>
      </w:r>
    </w:p>
    <w:p w:rsidR="00885611" w:rsidRPr="00314FA4" w:rsidRDefault="00885611" w:rsidP="00885611">
      <w:pPr>
        <w:spacing w:after="152"/>
        <w:ind w:left="1682"/>
        <w:rPr>
          <w:rFonts w:ascii="Arial" w:eastAsia="Arial" w:hAnsi="Arial" w:cs="Arial"/>
        </w:rPr>
      </w:pPr>
      <w:r w:rsidRPr="00314FA4">
        <w:rPr>
          <w:rFonts w:ascii="Arial" w:eastAsia="Arial" w:hAnsi="Arial" w:cs="Arial"/>
          <w:noProof/>
        </w:rPr>
        <w:drawing>
          <wp:inline distT="0" distB="0" distL="0" distR="0" wp14:anchorId="4433B332" wp14:editId="0E6E5591">
            <wp:extent cx="3804285" cy="1943100"/>
            <wp:effectExtent l="0" t="0" r="5715" b="0"/>
            <wp:docPr id="17" name="Picture 17"/>
            <wp:cNvGraphicFramePr/>
            <a:graphic xmlns:a="http://schemas.openxmlformats.org/drawingml/2006/main">
              <a:graphicData uri="http://schemas.openxmlformats.org/drawingml/2006/picture">
                <pic:pic xmlns:pic="http://schemas.openxmlformats.org/drawingml/2006/picture">
                  <pic:nvPicPr>
                    <pic:cNvPr id="37555" name="Picture 37555"/>
                    <pic:cNvPicPr/>
                  </pic:nvPicPr>
                  <pic:blipFill>
                    <a:blip r:embed="rId18"/>
                    <a:stretch>
                      <a:fillRect/>
                    </a:stretch>
                  </pic:blipFill>
                  <pic:spPr>
                    <a:xfrm>
                      <a:off x="0" y="0"/>
                      <a:ext cx="3804285" cy="1943100"/>
                    </a:xfrm>
                    <a:prstGeom prst="rect">
                      <a:avLst/>
                    </a:prstGeom>
                  </pic:spPr>
                </pic:pic>
              </a:graphicData>
            </a:graphic>
          </wp:inline>
        </w:drawing>
      </w:r>
    </w:p>
    <w:p w:rsidR="00885611" w:rsidRPr="00314FA4" w:rsidRDefault="00885611" w:rsidP="00885611">
      <w:pPr>
        <w:spacing w:after="62" w:line="266" w:lineRule="auto"/>
        <w:ind w:left="1428" w:right="1592" w:hanging="10"/>
        <w:rPr>
          <w:rFonts w:ascii="Arial" w:eastAsia="Arial" w:hAnsi="Arial" w:cs="Arial"/>
        </w:rPr>
      </w:pPr>
      <w:r w:rsidRPr="00314FA4">
        <w:rPr>
          <w:rFonts w:ascii="Arial" w:eastAsia="Arial" w:hAnsi="Arial" w:cs="Arial"/>
          <w:sz w:val="16"/>
        </w:rPr>
        <w:t xml:space="preserve">Obrazloženje stavki koje ulaze u izračun stope nezaposlenosti pogledati na strani 11. </w:t>
      </w:r>
    </w:p>
    <w:p w:rsidR="00885611" w:rsidRPr="00314FA4" w:rsidRDefault="00885611" w:rsidP="00657B10">
      <w:pPr>
        <w:spacing w:after="36"/>
        <w:rPr>
          <w:rFonts w:ascii="Arial" w:eastAsia="Arial" w:hAnsi="Arial" w:cs="Arial"/>
        </w:rPr>
      </w:pPr>
      <w:r w:rsidRPr="00314FA4">
        <w:rPr>
          <w:rFonts w:ascii="Arial" w:eastAsia="Arial" w:hAnsi="Arial" w:cs="Arial"/>
        </w:rPr>
        <w:lastRenderedPageBreak/>
        <w:t xml:space="preserve"> U 2021. godini u FBiH ostvaren je rast fizičkog obima industrijske proizvodnje za 9,8%. U Bosansko-podrinjskom kantonu također je ostvaren rast fizičkog obima industrijske proizvodnje za 18,0%.  </w:t>
      </w:r>
    </w:p>
    <w:p w:rsidR="00885611" w:rsidRPr="00314FA4" w:rsidRDefault="00885611" w:rsidP="00885611">
      <w:pPr>
        <w:spacing w:after="0"/>
        <w:ind w:left="197" w:right="192" w:hanging="10"/>
        <w:jc w:val="center"/>
        <w:rPr>
          <w:rFonts w:ascii="Arial" w:eastAsia="Arial" w:hAnsi="Arial" w:cs="Arial"/>
        </w:rPr>
      </w:pPr>
      <w:r w:rsidRPr="00314FA4">
        <w:rPr>
          <w:rFonts w:ascii="Arial" w:eastAsia="Arial" w:hAnsi="Arial" w:cs="Arial"/>
          <w:sz w:val="18"/>
        </w:rPr>
        <w:t>Tabela 23.</w:t>
      </w:r>
      <w:r w:rsidRPr="00314FA4">
        <w:rPr>
          <w:rFonts w:ascii="Arial" w:eastAsia="Arial" w:hAnsi="Arial" w:cs="Arial"/>
          <w:b/>
          <w:sz w:val="18"/>
        </w:rPr>
        <w:t xml:space="preserve"> Indeksi industrijske proizvodnja prema GIG, KD BiH 2010 BPK 2021 </w:t>
      </w:r>
    </w:p>
    <w:tbl>
      <w:tblPr>
        <w:tblStyle w:val="TableGrid"/>
        <w:tblW w:w="8133" w:type="dxa"/>
        <w:tblInd w:w="682" w:type="dxa"/>
        <w:tblCellMar>
          <w:left w:w="106" w:type="dxa"/>
          <w:right w:w="29" w:type="dxa"/>
        </w:tblCellMar>
        <w:tblLook w:val="04A0" w:firstRow="1" w:lastRow="0" w:firstColumn="1" w:lastColumn="0" w:noHBand="0" w:noVBand="1"/>
      </w:tblPr>
      <w:tblGrid>
        <w:gridCol w:w="4515"/>
        <w:gridCol w:w="1518"/>
        <w:gridCol w:w="2100"/>
      </w:tblGrid>
      <w:tr w:rsidR="00D74819" w:rsidRPr="00314FA4" w:rsidTr="00885611">
        <w:trPr>
          <w:trHeight w:val="256"/>
        </w:trPr>
        <w:tc>
          <w:tcPr>
            <w:tcW w:w="4515" w:type="dxa"/>
            <w:vMerge w:val="restart"/>
            <w:tcBorders>
              <w:top w:val="single" w:sz="8" w:space="0" w:color="4F81BD"/>
              <w:left w:val="single" w:sz="8" w:space="0" w:color="4F81BD"/>
              <w:bottom w:val="single" w:sz="8" w:space="0" w:color="4F81BD"/>
              <w:right w:val="single" w:sz="8" w:space="0" w:color="4F81BD"/>
            </w:tcBorders>
            <w:shd w:val="clear" w:color="auto" w:fill="DBE5F1"/>
            <w:vAlign w:val="center"/>
          </w:tcPr>
          <w:p w:rsidR="00885611" w:rsidRPr="00314FA4" w:rsidRDefault="00885611" w:rsidP="00885611">
            <w:pPr>
              <w:rPr>
                <w:rFonts w:ascii="Arial" w:eastAsia="Arial" w:hAnsi="Arial" w:cs="Arial"/>
              </w:rPr>
            </w:pPr>
            <w:r w:rsidRPr="00314FA4">
              <w:rPr>
                <w:rFonts w:ascii="Arial" w:eastAsia="Arial" w:hAnsi="Arial" w:cs="Arial"/>
                <w:sz w:val="18"/>
              </w:rPr>
              <w:t xml:space="preserve">  </w:t>
            </w:r>
          </w:p>
        </w:tc>
        <w:tc>
          <w:tcPr>
            <w:tcW w:w="3618" w:type="dxa"/>
            <w:gridSpan w:val="2"/>
            <w:tcBorders>
              <w:top w:val="single" w:sz="8" w:space="0" w:color="4F81BD"/>
              <w:left w:val="single" w:sz="8" w:space="0" w:color="4F81BD"/>
              <w:bottom w:val="single" w:sz="8" w:space="0" w:color="4F81BD"/>
              <w:right w:val="single" w:sz="8" w:space="0" w:color="4F81BD"/>
            </w:tcBorders>
            <w:shd w:val="clear" w:color="auto" w:fill="DBE5F1"/>
          </w:tcPr>
          <w:p w:rsidR="00885611" w:rsidRPr="00314FA4" w:rsidRDefault="00885611" w:rsidP="00885611">
            <w:pPr>
              <w:ind w:right="75"/>
              <w:jc w:val="center"/>
              <w:rPr>
                <w:rFonts w:ascii="Arial" w:eastAsia="Arial" w:hAnsi="Arial" w:cs="Arial"/>
              </w:rPr>
            </w:pPr>
            <w:r w:rsidRPr="00314FA4">
              <w:rPr>
                <w:rFonts w:ascii="Arial" w:eastAsia="Arial" w:hAnsi="Arial" w:cs="Arial"/>
                <w:b/>
                <w:sz w:val="18"/>
              </w:rPr>
              <w:t xml:space="preserve">2021/2020 </w:t>
            </w:r>
          </w:p>
        </w:tc>
      </w:tr>
      <w:tr w:rsidR="00D74819" w:rsidRPr="00314FA4" w:rsidTr="00885611">
        <w:trPr>
          <w:trHeight w:val="256"/>
        </w:trPr>
        <w:tc>
          <w:tcPr>
            <w:tcW w:w="0" w:type="auto"/>
            <w:vMerge/>
            <w:tcBorders>
              <w:top w:val="nil"/>
              <w:left w:val="single" w:sz="8" w:space="0" w:color="4F81BD"/>
              <w:bottom w:val="single" w:sz="8" w:space="0" w:color="4F81BD"/>
              <w:right w:val="single" w:sz="8" w:space="0" w:color="4F81BD"/>
            </w:tcBorders>
          </w:tcPr>
          <w:p w:rsidR="00885611" w:rsidRPr="00314FA4" w:rsidRDefault="00885611" w:rsidP="00885611">
            <w:pPr>
              <w:rPr>
                <w:rFonts w:ascii="Arial" w:eastAsia="Arial" w:hAnsi="Arial" w:cs="Arial"/>
              </w:rPr>
            </w:pPr>
          </w:p>
        </w:tc>
        <w:tc>
          <w:tcPr>
            <w:tcW w:w="1518" w:type="dxa"/>
            <w:tcBorders>
              <w:top w:val="single" w:sz="8" w:space="0" w:color="4F81BD"/>
              <w:left w:val="single" w:sz="8" w:space="0" w:color="4F81BD"/>
              <w:bottom w:val="single" w:sz="8" w:space="0" w:color="4F81BD"/>
              <w:right w:val="single" w:sz="8" w:space="0" w:color="4F81BD"/>
            </w:tcBorders>
            <w:shd w:val="clear" w:color="auto" w:fill="DBE5F1"/>
          </w:tcPr>
          <w:p w:rsidR="00885611" w:rsidRPr="00314FA4" w:rsidRDefault="00885611" w:rsidP="00885611">
            <w:pPr>
              <w:ind w:left="27"/>
              <w:rPr>
                <w:rFonts w:ascii="Arial" w:eastAsia="Arial" w:hAnsi="Arial" w:cs="Arial"/>
              </w:rPr>
            </w:pPr>
            <w:r w:rsidRPr="00314FA4">
              <w:rPr>
                <w:rFonts w:ascii="Arial" w:eastAsia="Arial" w:hAnsi="Arial" w:cs="Arial"/>
                <w:b/>
                <w:sz w:val="18"/>
              </w:rPr>
              <w:t xml:space="preserve">Federacija BiH </w:t>
            </w:r>
          </w:p>
        </w:tc>
        <w:tc>
          <w:tcPr>
            <w:tcW w:w="2099" w:type="dxa"/>
            <w:tcBorders>
              <w:top w:val="single" w:sz="8" w:space="0" w:color="4F81BD"/>
              <w:left w:val="single" w:sz="8" w:space="0" w:color="4F81BD"/>
              <w:bottom w:val="single" w:sz="8" w:space="0" w:color="4F81BD"/>
              <w:right w:val="single" w:sz="8" w:space="0" w:color="4F81BD"/>
            </w:tcBorders>
            <w:shd w:val="clear" w:color="auto" w:fill="DBE5F1"/>
          </w:tcPr>
          <w:p w:rsidR="00885611" w:rsidRPr="00314FA4" w:rsidRDefault="00885611" w:rsidP="00885611">
            <w:pPr>
              <w:ind w:left="32"/>
              <w:rPr>
                <w:rFonts w:ascii="Arial" w:eastAsia="Arial" w:hAnsi="Arial" w:cs="Arial"/>
              </w:rPr>
            </w:pPr>
            <w:r w:rsidRPr="00314FA4">
              <w:rPr>
                <w:rFonts w:ascii="Arial" w:eastAsia="Arial" w:hAnsi="Arial" w:cs="Arial"/>
                <w:b/>
                <w:sz w:val="18"/>
              </w:rPr>
              <w:t xml:space="preserve">Bosanski - podrinjski </w:t>
            </w:r>
          </w:p>
        </w:tc>
      </w:tr>
      <w:tr w:rsidR="00D74819" w:rsidRPr="00314FA4" w:rsidTr="00885611">
        <w:trPr>
          <w:trHeight w:val="305"/>
        </w:trPr>
        <w:tc>
          <w:tcPr>
            <w:tcW w:w="4515"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rPr>
                <w:rFonts w:ascii="Arial" w:eastAsia="Arial" w:hAnsi="Arial" w:cs="Arial"/>
              </w:rPr>
            </w:pPr>
            <w:r w:rsidRPr="00314FA4">
              <w:rPr>
                <w:rFonts w:ascii="Arial" w:eastAsia="Arial" w:hAnsi="Arial" w:cs="Arial"/>
                <w:b/>
                <w:sz w:val="18"/>
              </w:rPr>
              <w:t xml:space="preserve">INDUSTRIJA – UKUPNO </w:t>
            </w:r>
          </w:p>
        </w:tc>
        <w:tc>
          <w:tcPr>
            <w:tcW w:w="1518"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ind w:right="76"/>
              <w:jc w:val="center"/>
              <w:rPr>
                <w:rFonts w:ascii="Arial" w:eastAsia="Arial" w:hAnsi="Arial" w:cs="Arial"/>
              </w:rPr>
            </w:pPr>
            <w:r w:rsidRPr="00314FA4">
              <w:rPr>
                <w:rFonts w:ascii="Arial" w:eastAsia="Arial" w:hAnsi="Arial" w:cs="Arial"/>
                <w:b/>
                <w:sz w:val="18"/>
              </w:rPr>
              <w:t xml:space="preserve">109,8 </w:t>
            </w:r>
          </w:p>
        </w:tc>
        <w:tc>
          <w:tcPr>
            <w:tcW w:w="2099"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ind w:right="75"/>
              <w:jc w:val="center"/>
              <w:rPr>
                <w:rFonts w:ascii="Arial" w:eastAsia="Arial" w:hAnsi="Arial" w:cs="Arial"/>
              </w:rPr>
            </w:pPr>
            <w:r w:rsidRPr="00314FA4">
              <w:rPr>
                <w:rFonts w:ascii="Arial" w:eastAsia="Arial" w:hAnsi="Arial" w:cs="Arial"/>
                <w:b/>
                <w:sz w:val="18"/>
              </w:rPr>
              <w:t xml:space="preserve">118,0 </w:t>
            </w:r>
          </w:p>
        </w:tc>
      </w:tr>
      <w:tr w:rsidR="00D74819" w:rsidRPr="00314FA4" w:rsidTr="00885611">
        <w:trPr>
          <w:trHeight w:val="259"/>
        </w:trPr>
        <w:tc>
          <w:tcPr>
            <w:tcW w:w="4515"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jc w:val="both"/>
              <w:rPr>
                <w:rFonts w:ascii="Arial" w:eastAsia="Arial" w:hAnsi="Arial" w:cs="Arial"/>
              </w:rPr>
            </w:pPr>
            <w:r w:rsidRPr="00314FA4">
              <w:rPr>
                <w:rFonts w:ascii="Arial" w:eastAsia="Arial" w:hAnsi="Arial" w:cs="Arial"/>
                <w:sz w:val="18"/>
              </w:rPr>
              <w:t xml:space="preserve">PREMA GLAVNIM INDUSTRIJSKIM GRUPACIJAMA  </w:t>
            </w:r>
          </w:p>
        </w:tc>
        <w:tc>
          <w:tcPr>
            <w:tcW w:w="1518"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ind w:right="27"/>
              <w:jc w:val="center"/>
              <w:rPr>
                <w:rFonts w:ascii="Arial" w:eastAsia="Arial" w:hAnsi="Arial" w:cs="Arial"/>
              </w:rPr>
            </w:pPr>
            <w:r w:rsidRPr="00314FA4">
              <w:rPr>
                <w:rFonts w:ascii="Arial" w:eastAsia="Arial" w:hAnsi="Arial" w:cs="Arial"/>
                <w:sz w:val="18"/>
              </w:rPr>
              <w:t xml:space="preserve"> </w:t>
            </w:r>
          </w:p>
        </w:tc>
        <w:tc>
          <w:tcPr>
            <w:tcW w:w="2099"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ind w:right="26"/>
              <w:jc w:val="center"/>
              <w:rPr>
                <w:rFonts w:ascii="Arial" w:eastAsia="Arial" w:hAnsi="Arial" w:cs="Arial"/>
              </w:rPr>
            </w:pPr>
            <w:r w:rsidRPr="00314FA4">
              <w:rPr>
                <w:rFonts w:ascii="Arial" w:eastAsia="Arial" w:hAnsi="Arial" w:cs="Arial"/>
                <w:sz w:val="18"/>
              </w:rPr>
              <w:t xml:space="preserve"> </w:t>
            </w:r>
          </w:p>
        </w:tc>
      </w:tr>
      <w:tr w:rsidR="00D74819" w:rsidRPr="00314FA4" w:rsidTr="00885611">
        <w:trPr>
          <w:trHeight w:val="302"/>
        </w:trPr>
        <w:tc>
          <w:tcPr>
            <w:tcW w:w="4515"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rPr>
                <w:rFonts w:ascii="Arial" w:eastAsia="Arial" w:hAnsi="Arial" w:cs="Arial"/>
              </w:rPr>
            </w:pPr>
            <w:r w:rsidRPr="00314FA4">
              <w:rPr>
                <w:rFonts w:ascii="Arial" w:eastAsia="Arial" w:hAnsi="Arial" w:cs="Arial"/>
                <w:sz w:val="18"/>
              </w:rPr>
              <w:t xml:space="preserve">Intermedijarni proizvodi </w:t>
            </w:r>
          </w:p>
        </w:tc>
        <w:tc>
          <w:tcPr>
            <w:tcW w:w="1518"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ind w:right="76"/>
              <w:jc w:val="center"/>
              <w:rPr>
                <w:rFonts w:ascii="Arial" w:eastAsia="Arial" w:hAnsi="Arial" w:cs="Arial"/>
              </w:rPr>
            </w:pPr>
            <w:r w:rsidRPr="00314FA4">
              <w:rPr>
                <w:rFonts w:ascii="Arial" w:eastAsia="Arial" w:hAnsi="Arial" w:cs="Arial"/>
                <w:sz w:val="18"/>
              </w:rPr>
              <w:t xml:space="preserve">112,0 </w:t>
            </w:r>
          </w:p>
        </w:tc>
        <w:tc>
          <w:tcPr>
            <w:tcW w:w="2099"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ind w:right="75"/>
              <w:jc w:val="center"/>
              <w:rPr>
                <w:rFonts w:ascii="Arial" w:eastAsia="Arial" w:hAnsi="Arial" w:cs="Arial"/>
              </w:rPr>
            </w:pPr>
            <w:r w:rsidRPr="00314FA4">
              <w:rPr>
                <w:rFonts w:ascii="Arial" w:eastAsia="Arial" w:hAnsi="Arial" w:cs="Arial"/>
                <w:sz w:val="18"/>
              </w:rPr>
              <w:t xml:space="preserve">129,0 </w:t>
            </w:r>
          </w:p>
        </w:tc>
      </w:tr>
      <w:tr w:rsidR="00D74819" w:rsidRPr="00314FA4" w:rsidTr="00885611">
        <w:trPr>
          <w:trHeight w:val="302"/>
        </w:trPr>
        <w:tc>
          <w:tcPr>
            <w:tcW w:w="4515"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rPr>
                <w:rFonts w:ascii="Arial" w:eastAsia="Arial" w:hAnsi="Arial" w:cs="Arial"/>
              </w:rPr>
            </w:pPr>
            <w:r w:rsidRPr="00314FA4">
              <w:rPr>
                <w:rFonts w:ascii="Arial" w:eastAsia="Arial" w:hAnsi="Arial" w:cs="Arial"/>
                <w:sz w:val="18"/>
              </w:rPr>
              <w:t xml:space="preserve">Energija </w:t>
            </w:r>
          </w:p>
        </w:tc>
        <w:tc>
          <w:tcPr>
            <w:tcW w:w="1518"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ind w:right="76"/>
              <w:jc w:val="center"/>
              <w:rPr>
                <w:rFonts w:ascii="Arial" w:eastAsia="Arial" w:hAnsi="Arial" w:cs="Arial"/>
              </w:rPr>
            </w:pPr>
            <w:r w:rsidRPr="00314FA4">
              <w:rPr>
                <w:rFonts w:ascii="Arial" w:eastAsia="Arial" w:hAnsi="Arial" w:cs="Arial"/>
                <w:sz w:val="18"/>
              </w:rPr>
              <w:t xml:space="preserve">102,9 </w:t>
            </w:r>
          </w:p>
        </w:tc>
        <w:tc>
          <w:tcPr>
            <w:tcW w:w="2099"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ind w:right="75"/>
              <w:jc w:val="center"/>
              <w:rPr>
                <w:rFonts w:ascii="Arial" w:eastAsia="Arial" w:hAnsi="Arial" w:cs="Arial"/>
              </w:rPr>
            </w:pPr>
            <w:r w:rsidRPr="00314FA4">
              <w:rPr>
                <w:rFonts w:ascii="Arial" w:eastAsia="Arial" w:hAnsi="Arial" w:cs="Arial"/>
                <w:sz w:val="18"/>
              </w:rPr>
              <w:t xml:space="preserve">108,3 </w:t>
            </w:r>
          </w:p>
        </w:tc>
      </w:tr>
      <w:tr w:rsidR="00D74819" w:rsidRPr="00314FA4" w:rsidTr="00885611">
        <w:trPr>
          <w:trHeight w:val="303"/>
        </w:trPr>
        <w:tc>
          <w:tcPr>
            <w:tcW w:w="4515"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rPr>
                <w:rFonts w:ascii="Arial" w:eastAsia="Arial" w:hAnsi="Arial" w:cs="Arial"/>
              </w:rPr>
            </w:pPr>
            <w:r w:rsidRPr="00314FA4">
              <w:rPr>
                <w:rFonts w:ascii="Arial" w:eastAsia="Arial" w:hAnsi="Arial" w:cs="Arial"/>
                <w:sz w:val="18"/>
              </w:rPr>
              <w:t xml:space="preserve">Kapitalni proizvodi </w:t>
            </w:r>
          </w:p>
        </w:tc>
        <w:tc>
          <w:tcPr>
            <w:tcW w:w="1518"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ind w:right="76"/>
              <w:jc w:val="center"/>
              <w:rPr>
                <w:rFonts w:ascii="Arial" w:eastAsia="Arial" w:hAnsi="Arial" w:cs="Arial"/>
              </w:rPr>
            </w:pPr>
            <w:r w:rsidRPr="00314FA4">
              <w:rPr>
                <w:rFonts w:ascii="Arial" w:eastAsia="Arial" w:hAnsi="Arial" w:cs="Arial"/>
                <w:sz w:val="18"/>
              </w:rPr>
              <w:t xml:space="preserve">129,0 </w:t>
            </w:r>
          </w:p>
        </w:tc>
        <w:tc>
          <w:tcPr>
            <w:tcW w:w="2099"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ind w:right="75"/>
              <w:jc w:val="center"/>
              <w:rPr>
                <w:rFonts w:ascii="Arial" w:eastAsia="Arial" w:hAnsi="Arial" w:cs="Arial"/>
              </w:rPr>
            </w:pPr>
            <w:r w:rsidRPr="00314FA4">
              <w:rPr>
                <w:rFonts w:ascii="Arial" w:eastAsia="Arial" w:hAnsi="Arial" w:cs="Arial"/>
                <w:sz w:val="18"/>
              </w:rPr>
              <w:t xml:space="preserve">161,4 </w:t>
            </w:r>
          </w:p>
        </w:tc>
      </w:tr>
      <w:tr w:rsidR="00D74819" w:rsidRPr="00314FA4" w:rsidTr="00885611">
        <w:trPr>
          <w:trHeight w:val="305"/>
        </w:trPr>
        <w:tc>
          <w:tcPr>
            <w:tcW w:w="4515"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rPr>
                <w:rFonts w:ascii="Arial" w:eastAsia="Arial" w:hAnsi="Arial" w:cs="Arial"/>
              </w:rPr>
            </w:pPr>
            <w:r w:rsidRPr="00314FA4">
              <w:rPr>
                <w:rFonts w:ascii="Arial" w:eastAsia="Arial" w:hAnsi="Arial" w:cs="Arial"/>
                <w:sz w:val="18"/>
              </w:rPr>
              <w:t xml:space="preserve">Trajni proizvodi za široku potrošnju </w:t>
            </w:r>
          </w:p>
        </w:tc>
        <w:tc>
          <w:tcPr>
            <w:tcW w:w="1518"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ind w:right="76"/>
              <w:jc w:val="center"/>
              <w:rPr>
                <w:rFonts w:ascii="Arial" w:eastAsia="Arial" w:hAnsi="Arial" w:cs="Arial"/>
              </w:rPr>
            </w:pPr>
            <w:r w:rsidRPr="00314FA4">
              <w:rPr>
                <w:rFonts w:ascii="Arial" w:eastAsia="Arial" w:hAnsi="Arial" w:cs="Arial"/>
                <w:sz w:val="18"/>
              </w:rPr>
              <w:t xml:space="preserve">114,9 </w:t>
            </w:r>
          </w:p>
        </w:tc>
        <w:tc>
          <w:tcPr>
            <w:tcW w:w="2099"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ind w:right="75"/>
              <w:jc w:val="center"/>
              <w:rPr>
                <w:rFonts w:ascii="Arial" w:eastAsia="Arial" w:hAnsi="Arial" w:cs="Arial"/>
              </w:rPr>
            </w:pPr>
            <w:r w:rsidRPr="00314FA4">
              <w:rPr>
                <w:rFonts w:ascii="Arial" w:eastAsia="Arial" w:hAnsi="Arial" w:cs="Arial"/>
                <w:sz w:val="18"/>
              </w:rPr>
              <w:t xml:space="preserve">109,4 </w:t>
            </w:r>
          </w:p>
        </w:tc>
      </w:tr>
      <w:tr w:rsidR="00D74819" w:rsidRPr="00314FA4" w:rsidTr="00885611">
        <w:trPr>
          <w:trHeight w:val="302"/>
        </w:trPr>
        <w:tc>
          <w:tcPr>
            <w:tcW w:w="4515"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rPr>
                <w:rFonts w:ascii="Arial" w:eastAsia="Arial" w:hAnsi="Arial" w:cs="Arial"/>
              </w:rPr>
            </w:pPr>
            <w:r w:rsidRPr="00314FA4">
              <w:rPr>
                <w:rFonts w:ascii="Arial" w:eastAsia="Arial" w:hAnsi="Arial" w:cs="Arial"/>
                <w:sz w:val="18"/>
              </w:rPr>
              <w:t xml:space="preserve">Netrajni proizvodi za široku potrošnju </w:t>
            </w:r>
          </w:p>
        </w:tc>
        <w:tc>
          <w:tcPr>
            <w:tcW w:w="1518"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ind w:right="76"/>
              <w:jc w:val="center"/>
              <w:rPr>
                <w:rFonts w:ascii="Arial" w:eastAsia="Arial" w:hAnsi="Arial" w:cs="Arial"/>
              </w:rPr>
            </w:pPr>
            <w:r w:rsidRPr="00314FA4">
              <w:rPr>
                <w:rFonts w:ascii="Arial" w:eastAsia="Arial" w:hAnsi="Arial" w:cs="Arial"/>
                <w:sz w:val="18"/>
              </w:rPr>
              <w:t xml:space="preserve">101,4 </w:t>
            </w:r>
          </w:p>
        </w:tc>
        <w:tc>
          <w:tcPr>
            <w:tcW w:w="2099"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ind w:right="75"/>
              <w:jc w:val="center"/>
              <w:rPr>
                <w:rFonts w:ascii="Arial" w:eastAsia="Arial" w:hAnsi="Arial" w:cs="Arial"/>
              </w:rPr>
            </w:pPr>
            <w:r w:rsidRPr="00314FA4">
              <w:rPr>
                <w:rFonts w:ascii="Arial" w:eastAsia="Arial" w:hAnsi="Arial" w:cs="Arial"/>
                <w:sz w:val="18"/>
              </w:rPr>
              <w:t xml:space="preserve">93,5 </w:t>
            </w:r>
          </w:p>
        </w:tc>
      </w:tr>
      <w:tr w:rsidR="00D74819" w:rsidRPr="00314FA4" w:rsidTr="00885611">
        <w:trPr>
          <w:trHeight w:val="257"/>
        </w:trPr>
        <w:tc>
          <w:tcPr>
            <w:tcW w:w="4515"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rPr>
                <w:rFonts w:ascii="Arial" w:eastAsia="Arial" w:hAnsi="Arial" w:cs="Arial"/>
              </w:rPr>
            </w:pPr>
            <w:r w:rsidRPr="00314FA4">
              <w:rPr>
                <w:rFonts w:ascii="Arial" w:eastAsia="Arial" w:hAnsi="Arial" w:cs="Arial"/>
                <w:sz w:val="18"/>
              </w:rPr>
              <w:t xml:space="preserve">PREMA PODRUČJIMA I OBLASTIMA KD-a </w:t>
            </w:r>
          </w:p>
        </w:tc>
        <w:tc>
          <w:tcPr>
            <w:tcW w:w="1518"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ind w:right="27"/>
              <w:jc w:val="center"/>
              <w:rPr>
                <w:rFonts w:ascii="Arial" w:eastAsia="Arial" w:hAnsi="Arial" w:cs="Arial"/>
              </w:rPr>
            </w:pPr>
            <w:r w:rsidRPr="00314FA4">
              <w:rPr>
                <w:rFonts w:ascii="Arial" w:eastAsia="Arial" w:hAnsi="Arial" w:cs="Arial"/>
                <w:sz w:val="18"/>
              </w:rPr>
              <w:t xml:space="preserve"> </w:t>
            </w:r>
          </w:p>
        </w:tc>
        <w:tc>
          <w:tcPr>
            <w:tcW w:w="2099"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ind w:right="26"/>
              <w:jc w:val="center"/>
              <w:rPr>
                <w:rFonts w:ascii="Arial" w:eastAsia="Arial" w:hAnsi="Arial" w:cs="Arial"/>
              </w:rPr>
            </w:pPr>
            <w:r w:rsidRPr="00314FA4">
              <w:rPr>
                <w:rFonts w:ascii="Arial" w:eastAsia="Arial" w:hAnsi="Arial" w:cs="Arial"/>
                <w:sz w:val="18"/>
              </w:rPr>
              <w:t xml:space="preserve"> </w:t>
            </w:r>
          </w:p>
        </w:tc>
      </w:tr>
      <w:tr w:rsidR="00D74819" w:rsidRPr="00314FA4" w:rsidTr="00885611">
        <w:trPr>
          <w:trHeight w:val="264"/>
        </w:trPr>
        <w:tc>
          <w:tcPr>
            <w:tcW w:w="4515"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rPr>
                <w:rFonts w:ascii="Arial" w:eastAsia="Arial" w:hAnsi="Arial" w:cs="Arial"/>
              </w:rPr>
            </w:pPr>
            <w:r w:rsidRPr="00314FA4">
              <w:rPr>
                <w:rFonts w:ascii="Arial" w:eastAsia="Arial" w:hAnsi="Arial" w:cs="Arial"/>
                <w:sz w:val="18"/>
              </w:rPr>
              <w:t xml:space="preserve">Vađenje ruda i kamena </w:t>
            </w:r>
          </w:p>
        </w:tc>
        <w:tc>
          <w:tcPr>
            <w:tcW w:w="1518"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ind w:right="76"/>
              <w:jc w:val="center"/>
              <w:rPr>
                <w:rFonts w:ascii="Arial" w:eastAsia="Arial" w:hAnsi="Arial" w:cs="Arial"/>
              </w:rPr>
            </w:pPr>
            <w:r w:rsidRPr="00314FA4">
              <w:rPr>
                <w:rFonts w:ascii="Arial" w:eastAsia="Arial" w:hAnsi="Arial" w:cs="Arial"/>
                <w:sz w:val="18"/>
              </w:rPr>
              <w:t xml:space="preserve">91,3 </w:t>
            </w:r>
          </w:p>
        </w:tc>
        <w:tc>
          <w:tcPr>
            <w:tcW w:w="2099"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ind w:right="75"/>
              <w:jc w:val="center"/>
              <w:rPr>
                <w:rFonts w:ascii="Arial" w:eastAsia="Arial" w:hAnsi="Arial" w:cs="Arial"/>
              </w:rPr>
            </w:pPr>
            <w:r w:rsidRPr="00314FA4">
              <w:rPr>
                <w:rFonts w:ascii="Arial" w:eastAsia="Arial" w:hAnsi="Arial" w:cs="Arial"/>
                <w:b/>
                <w:sz w:val="18"/>
              </w:rPr>
              <w:t xml:space="preserve">104,2 </w:t>
            </w:r>
          </w:p>
        </w:tc>
      </w:tr>
      <w:tr w:rsidR="00D74819" w:rsidRPr="00314FA4" w:rsidTr="00885611">
        <w:trPr>
          <w:trHeight w:val="305"/>
        </w:trPr>
        <w:tc>
          <w:tcPr>
            <w:tcW w:w="4515"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rPr>
                <w:rFonts w:ascii="Arial" w:eastAsia="Arial" w:hAnsi="Arial" w:cs="Arial"/>
              </w:rPr>
            </w:pPr>
            <w:r w:rsidRPr="00314FA4">
              <w:rPr>
                <w:rFonts w:ascii="Arial" w:eastAsia="Arial" w:hAnsi="Arial" w:cs="Arial"/>
                <w:sz w:val="18"/>
              </w:rPr>
              <w:t xml:space="preserve">Prerađivačka industrija </w:t>
            </w:r>
          </w:p>
        </w:tc>
        <w:tc>
          <w:tcPr>
            <w:tcW w:w="1518"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ind w:right="76"/>
              <w:jc w:val="center"/>
              <w:rPr>
                <w:rFonts w:ascii="Arial" w:eastAsia="Arial" w:hAnsi="Arial" w:cs="Arial"/>
              </w:rPr>
            </w:pPr>
            <w:r w:rsidRPr="00314FA4">
              <w:rPr>
                <w:rFonts w:ascii="Arial" w:eastAsia="Arial" w:hAnsi="Arial" w:cs="Arial"/>
                <w:sz w:val="18"/>
              </w:rPr>
              <w:t xml:space="preserve">112,6 </w:t>
            </w:r>
          </w:p>
        </w:tc>
        <w:tc>
          <w:tcPr>
            <w:tcW w:w="2099"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ind w:right="75"/>
              <w:jc w:val="center"/>
              <w:rPr>
                <w:rFonts w:ascii="Arial" w:eastAsia="Arial" w:hAnsi="Arial" w:cs="Arial"/>
              </w:rPr>
            </w:pPr>
            <w:r w:rsidRPr="00314FA4">
              <w:rPr>
                <w:rFonts w:ascii="Arial" w:eastAsia="Arial" w:hAnsi="Arial" w:cs="Arial"/>
                <w:b/>
                <w:sz w:val="18"/>
              </w:rPr>
              <w:t xml:space="preserve">118,4 </w:t>
            </w:r>
          </w:p>
        </w:tc>
      </w:tr>
      <w:tr w:rsidR="00D74819" w:rsidRPr="00314FA4" w:rsidTr="00885611">
        <w:trPr>
          <w:trHeight w:val="497"/>
        </w:trPr>
        <w:tc>
          <w:tcPr>
            <w:tcW w:w="4515" w:type="dxa"/>
            <w:tcBorders>
              <w:top w:val="single" w:sz="8" w:space="0" w:color="4F81BD"/>
              <w:left w:val="single" w:sz="8" w:space="0" w:color="4F81BD"/>
              <w:bottom w:val="single" w:sz="8" w:space="0" w:color="4F81BD"/>
              <w:right w:val="single" w:sz="8" w:space="0" w:color="4F81BD"/>
            </w:tcBorders>
          </w:tcPr>
          <w:p w:rsidR="00885611" w:rsidRPr="00314FA4" w:rsidRDefault="00885611" w:rsidP="00885611">
            <w:pPr>
              <w:rPr>
                <w:rFonts w:ascii="Arial" w:eastAsia="Arial" w:hAnsi="Arial" w:cs="Arial"/>
              </w:rPr>
            </w:pPr>
            <w:r w:rsidRPr="00314FA4">
              <w:rPr>
                <w:rFonts w:ascii="Arial" w:eastAsia="Arial" w:hAnsi="Arial" w:cs="Arial"/>
                <w:sz w:val="18"/>
              </w:rPr>
              <w:t xml:space="preserve">Proizvodnja </w:t>
            </w:r>
            <w:r w:rsidRPr="00314FA4">
              <w:rPr>
                <w:rFonts w:ascii="Arial" w:eastAsia="Arial" w:hAnsi="Arial" w:cs="Arial"/>
                <w:sz w:val="18"/>
              </w:rPr>
              <w:tab/>
              <w:t xml:space="preserve">i </w:t>
            </w:r>
            <w:r w:rsidRPr="00314FA4">
              <w:rPr>
                <w:rFonts w:ascii="Arial" w:eastAsia="Arial" w:hAnsi="Arial" w:cs="Arial"/>
                <w:sz w:val="18"/>
              </w:rPr>
              <w:tab/>
              <w:t xml:space="preserve">snabdijevanje/opskrba </w:t>
            </w:r>
            <w:r w:rsidRPr="00314FA4">
              <w:rPr>
                <w:rFonts w:ascii="Arial" w:eastAsia="Arial" w:hAnsi="Arial" w:cs="Arial"/>
                <w:sz w:val="18"/>
              </w:rPr>
              <w:tab/>
              <w:t xml:space="preserve">električnom energijom i plinom  </w:t>
            </w:r>
          </w:p>
        </w:tc>
        <w:tc>
          <w:tcPr>
            <w:tcW w:w="1518" w:type="dxa"/>
            <w:tcBorders>
              <w:top w:val="single" w:sz="8" w:space="0" w:color="4F81BD"/>
              <w:left w:val="single" w:sz="8" w:space="0" w:color="4F81BD"/>
              <w:bottom w:val="single" w:sz="8" w:space="0" w:color="4F81BD"/>
              <w:right w:val="single" w:sz="8" w:space="0" w:color="4F81BD"/>
            </w:tcBorders>
            <w:vAlign w:val="center"/>
          </w:tcPr>
          <w:p w:rsidR="00885611" w:rsidRPr="00314FA4" w:rsidRDefault="00885611" w:rsidP="00885611">
            <w:pPr>
              <w:ind w:right="76"/>
              <w:jc w:val="center"/>
              <w:rPr>
                <w:rFonts w:ascii="Arial" w:eastAsia="Arial" w:hAnsi="Arial" w:cs="Arial"/>
              </w:rPr>
            </w:pPr>
            <w:r w:rsidRPr="00314FA4">
              <w:rPr>
                <w:rFonts w:ascii="Arial" w:eastAsia="Arial" w:hAnsi="Arial" w:cs="Arial"/>
                <w:sz w:val="18"/>
              </w:rPr>
              <w:t xml:space="preserve">108,4 </w:t>
            </w:r>
          </w:p>
        </w:tc>
        <w:tc>
          <w:tcPr>
            <w:tcW w:w="2099" w:type="dxa"/>
            <w:tcBorders>
              <w:top w:val="single" w:sz="8" w:space="0" w:color="4F81BD"/>
              <w:left w:val="single" w:sz="8" w:space="0" w:color="4F81BD"/>
              <w:bottom w:val="single" w:sz="8" w:space="0" w:color="4F81BD"/>
              <w:right w:val="single" w:sz="8" w:space="0" w:color="4F81BD"/>
            </w:tcBorders>
            <w:vAlign w:val="center"/>
          </w:tcPr>
          <w:p w:rsidR="00885611" w:rsidRPr="00314FA4" w:rsidRDefault="00885611" w:rsidP="00885611">
            <w:pPr>
              <w:ind w:right="75"/>
              <w:jc w:val="center"/>
              <w:rPr>
                <w:rFonts w:ascii="Arial" w:eastAsia="Arial" w:hAnsi="Arial" w:cs="Arial"/>
              </w:rPr>
            </w:pPr>
            <w:r w:rsidRPr="00314FA4">
              <w:rPr>
                <w:rFonts w:ascii="Arial" w:eastAsia="Arial" w:hAnsi="Arial" w:cs="Arial"/>
                <w:b/>
                <w:sz w:val="18"/>
              </w:rPr>
              <w:t xml:space="preserve">108,3 </w:t>
            </w:r>
          </w:p>
        </w:tc>
      </w:tr>
    </w:tbl>
    <w:p w:rsidR="00885611" w:rsidRPr="00314FA4" w:rsidRDefault="00885611" w:rsidP="00657B10">
      <w:pPr>
        <w:spacing w:after="17"/>
        <w:ind w:right="687"/>
        <w:rPr>
          <w:rFonts w:ascii="Arial" w:eastAsia="Arial" w:hAnsi="Arial" w:cs="Arial"/>
        </w:rPr>
      </w:pPr>
      <w:r w:rsidRPr="00314FA4">
        <w:rPr>
          <w:rFonts w:ascii="Arial" w:eastAsia="Arial" w:hAnsi="Arial" w:cs="Arial"/>
          <w:sz w:val="16"/>
        </w:rPr>
        <w:t xml:space="preserve">      </w:t>
      </w:r>
      <w:r w:rsidRPr="00314FA4">
        <w:rPr>
          <w:rFonts w:ascii="Arial" w:eastAsia="Arial" w:hAnsi="Arial" w:cs="Arial"/>
          <w:sz w:val="16"/>
          <w:vertAlign w:val="subscript"/>
        </w:rPr>
        <w:t xml:space="preserve"> </w:t>
      </w:r>
    </w:p>
    <w:p w:rsidR="00885611" w:rsidRPr="00314FA4" w:rsidRDefault="00885611" w:rsidP="00885611">
      <w:pPr>
        <w:spacing w:after="5" w:line="287" w:lineRule="auto"/>
        <w:ind w:left="9" w:hanging="10"/>
        <w:jc w:val="both"/>
        <w:rPr>
          <w:rFonts w:ascii="Arial" w:eastAsia="Arial" w:hAnsi="Arial" w:cs="Arial"/>
        </w:rPr>
      </w:pPr>
      <w:r w:rsidRPr="00314FA4">
        <w:rPr>
          <w:rFonts w:ascii="Arial" w:eastAsia="Arial" w:hAnsi="Arial" w:cs="Arial"/>
        </w:rPr>
        <w:t xml:space="preserve">U 2021. godini, u FBiH prosječna mjesečna isplaćena neto plaća iznosi 996 KM i viša je za 4,2% u odnosu na prethodnu godinu. U BPK prosječna neto plaća iznosi 891 KM što je više za 4,1% u odnosu na 2020. godinu i što je 89,5% u odnosu na prosjek FBiH. </w:t>
      </w:r>
      <w:r w:rsidRPr="00314FA4">
        <w:rPr>
          <w:rFonts w:ascii="Arial" w:eastAsia="Arial" w:hAnsi="Arial" w:cs="Arial"/>
          <w:sz w:val="16"/>
        </w:rPr>
        <w:t xml:space="preserve"> </w:t>
      </w:r>
    </w:p>
    <w:p w:rsidR="00885611" w:rsidRPr="00314FA4" w:rsidRDefault="00885611" w:rsidP="00885611">
      <w:pPr>
        <w:spacing w:after="48"/>
        <w:rPr>
          <w:rFonts w:ascii="Arial" w:eastAsia="Arial" w:hAnsi="Arial" w:cs="Arial"/>
        </w:rPr>
      </w:pPr>
      <w:r w:rsidRPr="00314FA4">
        <w:rPr>
          <w:rFonts w:ascii="Arial" w:eastAsia="Arial" w:hAnsi="Arial" w:cs="Arial"/>
        </w:rPr>
        <w:t xml:space="preserve"> </w:t>
      </w:r>
    </w:p>
    <w:p w:rsidR="00885611" w:rsidRPr="00314FA4" w:rsidRDefault="00885611" w:rsidP="00885611">
      <w:pPr>
        <w:spacing w:after="180" w:line="287" w:lineRule="auto"/>
        <w:ind w:left="9" w:hanging="10"/>
        <w:jc w:val="both"/>
        <w:rPr>
          <w:rFonts w:ascii="Arial" w:eastAsia="Arial" w:hAnsi="Arial" w:cs="Arial"/>
        </w:rPr>
      </w:pPr>
      <w:r w:rsidRPr="00314FA4">
        <w:rPr>
          <w:rFonts w:ascii="Arial" w:eastAsia="Arial" w:hAnsi="Arial" w:cs="Arial"/>
        </w:rPr>
        <w:t>Povećanje prosječne mjesečne plaće zabilježeno je u svim općinama, a najviše u Goraždu za 4,1%, Foči za 3,2% i Palama za 2,3% u odnosu na prethodnu godinu.</w:t>
      </w:r>
      <w:r w:rsidRPr="00314FA4">
        <w:rPr>
          <w:rFonts w:ascii="Arial" w:eastAsia="Arial" w:hAnsi="Arial" w:cs="Arial"/>
          <w:sz w:val="16"/>
        </w:rPr>
        <w:t xml:space="preserve"> </w:t>
      </w:r>
    </w:p>
    <w:p w:rsidR="00885611" w:rsidRPr="00314FA4" w:rsidRDefault="00885611" w:rsidP="00885611">
      <w:pPr>
        <w:spacing w:after="0"/>
        <w:ind w:left="197" w:right="650" w:hanging="10"/>
        <w:jc w:val="center"/>
        <w:rPr>
          <w:rFonts w:ascii="Arial" w:eastAsia="Arial" w:hAnsi="Arial" w:cs="Arial"/>
        </w:rPr>
      </w:pPr>
      <w:r w:rsidRPr="00314FA4">
        <w:rPr>
          <w:rFonts w:ascii="Arial" w:eastAsia="Arial" w:hAnsi="Arial" w:cs="Arial"/>
          <w:sz w:val="18"/>
        </w:rPr>
        <w:t xml:space="preserve">Grafikon 52. </w:t>
      </w:r>
      <w:r w:rsidRPr="00314FA4">
        <w:rPr>
          <w:rFonts w:ascii="Arial" w:eastAsia="Arial" w:hAnsi="Arial" w:cs="Arial"/>
          <w:b/>
          <w:sz w:val="18"/>
        </w:rPr>
        <w:t>Pregled plaća po općinama BPK 2021</w:t>
      </w:r>
      <w:r w:rsidRPr="00314FA4">
        <w:rPr>
          <w:rFonts w:ascii="Arial" w:eastAsia="Arial" w:hAnsi="Arial" w:cs="Arial"/>
          <w:i/>
          <w:sz w:val="18"/>
        </w:rPr>
        <w:t xml:space="preserve"> </w:t>
      </w:r>
    </w:p>
    <w:p w:rsidR="00885611" w:rsidRPr="00314FA4" w:rsidRDefault="00885611" w:rsidP="00885611">
      <w:pPr>
        <w:spacing w:after="63"/>
        <w:ind w:left="1677"/>
        <w:rPr>
          <w:rFonts w:ascii="Arial" w:eastAsia="Arial" w:hAnsi="Arial" w:cs="Arial"/>
        </w:rPr>
      </w:pPr>
      <w:r w:rsidRPr="00314FA4">
        <w:rPr>
          <w:rFonts w:ascii="Arial" w:eastAsia="Arial" w:hAnsi="Arial" w:cs="Arial"/>
          <w:noProof/>
        </w:rPr>
        <w:drawing>
          <wp:inline distT="0" distB="0" distL="0" distR="0" wp14:anchorId="39D54B55" wp14:editId="46B7C36F">
            <wp:extent cx="3810635" cy="271907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37966" name="Picture 37966"/>
                    <pic:cNvPicPr/>
                  </pic:nvPicPr>
                  <pic:blipFill>
                    <a:blip r:embed="rId19"/>
                    <a:stretch>
                      <a:fillRect/>
                    </a:stretch>
                  </pic:blipFill>
                  <pic:spPr>
                    <a:xfrm>
                      <a:off x="0" y="0"/>
                      <a:ext cx="3810635" cy="2719070"/>
                    </a:xfrm>
                    <a:prstGeom prst="rect">
                      <a:avLst/>
                    </a:prstGeom>
                  </pic:spPr>
                </pic:pic>
              </a:graphicData>
            </a:graphic>
          </wp:inline>
        </w:drawing>
      </w:r>
    </w:p>
    <w:p w:rsidR="00885611" w:rsidRPr="00314FA4" w:rsidRDefault="00885611" w:rsidP="00657B10">
      <w:pPr>
        <w:tabs>
          <w:tab w:val="left" w:pos="5670"/>
        </w:tabs>
        <w:spacing w:after="63" w:line="266" w:lineRule="auto"/>
        <w:ind w:left="2278" w:right="429" w:hanging="10"/>
        <w:rPr>
          <w:rFonts w:ascii="Arial" w:eastAsia="Arial" w:hAnsi="Arial" w:cs="Arial"/>
        </w:rPr>
      </w:pPr>
      <w:r w:rsidRPr="00314FA4">
        <w:rPr>
          <w:rFonts w:ascii="Arial" w:eastAsia="Arial" w:hAnsi="Arial" w:cs="Arial"/>
          <w:sz w:val="16"/>
        </w:rPr>
        <w:t xml:space="preserve">Izvor: (Federalni zavod za statistiku, 2021) Obrada: Federalni zavod za programiranje razvoja </w:t>
      </w:r>
    </w:p>
    <w:p w:rsidR="00885611" w:rsidRPr="00314FA4" w:rsidRDefault="00885611" w:rsidP="00885611">
      <w:pPr>
        <w:spacing w:after="16"/>
        <w:rPr>
          <w:rFonts w:ascii="Arial" w:eastAsia="Arial" w:hAnsi="Arial" w:cs="Arial"/>
        </w:rPr>
      </w:pPr>
      <w:r w:rsidRPr="00314FA4">
        <w:rPr>
          <w:rFonts w:ascii="Arial" w:eastAsia="Arial" w:hAnsi="Arial" w:cs="Arial"/>
        </w:rPr>
        <w:t xml:space="preserve"> </w:t>
      </w:r>
    </w:p>
    <w:p w:rsidR="00885611" w:rsidRPr="00314FA4" w:rsidRDefault="00885611" w:rsidP="00885611">
      <w:pPr>
        <w:spacing w:after="16"/>
        <w:rPr>
          <w:rFonts w:ascii="Arial" w:eastAsia="Arial" w:hAnsi="Arial" w:cs="Arial"/>
        </w:rPr>
      </w:pPr>
      <w:r w:rsidRPr="00314FA4">
        <w:rPr>
          <w:rFonts w:ascii="Arial" w:eastAsia="Arial" w:hAnsi="Arial" w:cs="Arial"/>
        </w:rPr>
        <w:lastRenderedPageBreak/>
        <w:t xml:space="preserve"> </w:t>
      </w:r>
    </w:p>
    <w:p w:rsidR="00885611" w:rsidRPr="00314FA4" w:rsidRDefault="00885611" w:rsidP="00885611">
      <w:pPr>
        <w:spacing w:after="5" w:line="287" w:lineRule="auto"/>
        <w:ind w:left="9" w:hanging="10"/>
        <w:jc w:val="both"/>
        <w:rPr>
          <w:rFonts w:ascii="Arial" w:eastAsia="Arial" w:hAnsi="Arial" w:cs="Arial"/>
        </w:rPr>
      </w:pPr>
      <w:r w:rsidRPr="00314FA4">
        <w:rPr>
          <w:rFonts w:ascii="Arial" w:eastAsia="Arial" w:hAnsi="Arial" w:cs="Arial"/>
        </w:rPr>
        <w:t xml:space="preserve">Ukupan broj penzionera u FBiH u decembru 2021. godine iznosi 429.545, što je za 0,3% više nego u prethodnoj godini. </w:t>
      </w:r>
    </w:p>
    <w:p w:rsidR="00885611" w:rsidRPr="00314FA4" w:rsidRDefault="00885611" w:rsidP="00885611">
      <w:pPr>
        <w:spacing w:after="22"/>
        <w:rPr>
          <w:rFonts w:ascii="Arial" w:eastAsia="Arial" w:hAnsi="Arial" w:cs="Arial"/>
        </w:rPr>
      </w:pPr>
      <w:r w:rsidRPr="00314FA4">
        <w:rPr>
          <w:rFonts w:ascii="Arial" w:eastAsia="Arial" w:hAnsi="Arial" w:cs="Arial"/>
        </w:rPr>
        <w:t xml:space="preserve"> </w:t>
      </w:r>
    </w:p>
    <w:p w:rsidR="00885611" w:rsidRPr="00314FA4" w:rsidRDefault="00885611" w:rsidP="00885611">
      <w:pPr>
        <w:spacing w:after="5" w:line="287" w:lineRule="auto"/>
        <w:ind w:left="9" w:hanging="10"/>
        <w:jc w:val="both"/>
        <w:rPr>
          <w:rFonts w:ascii="Arial" w:eastAsia="Arial" w:hAnsi="Arial" w:cs="Arial"/>
        </w:rPr>
      </w:pPr>
      <w:r w:rsidRPr="00314FA4">
        <w:rPr>
          <w:rFonts w:ascii="Arial" w:eastAsia="Arial" w:hAnsi="Arial" w:cs="Arial"/>
        </w:rPr>
        <w:t xml:space="preserve">U BPK broj penzionera u decembru 2021. godine iznosi 5.441 što je za 1,2% manje u odnosu na </w:t>
      </w:r>
    </w:p>
    <w:p w:rsidR="00885611" w:rsidRPr="00314FA4" w:rsidRDefault="00885611" w:rsidP="00885611">
      <w:pPr>
        <w:spacing w:after="5" w:line="287" w:lineRule="auto"/>
        <w:ind w:left="9" w:hanging="10"/>
        <w:jc w:val="both"/>
        <w:rPr>
          <w:rFonts w:ascii="Arial" w:eastAsia="Arial" w:hAnsi="Arial" w:cs="Arial"/>
        </w:rPr>
      </w:pPr>
      <w:r w:rsidRPr="00314FA4">
        <w:rPr>
          <w:rFonts w:ascii="Arial" w:eastAsia="Arial" w:hAnsi="Arial" w:cs="Arial"/>
        </w:rPr>
        <w:t xml:space="preserve">2020. godinu sa učešćem od 1,3% u odnosu na ukupan broj penzionera u FBiH. </w:t>
      </w:r>
    </w:p>
    <w:p w:rsidR="00885611" w:rsidRPr="00314FA4" w:rsidRDefault="00885611" w:rsidP="00885611">
      <w:pPr>
        <w:spacing w:after="16"/>
        <w:rPr>
          <w:rFonts w:ascii="Arial" w:eastAsia="Arial" w:hAnsi="Arial" w:cs="Arial"/>
        </w:rPr>
      </w:pPr>
      <w:r w:rsidRPr="00314FA4">
        <w:rPr>
          <w:rFonts w:ascii="Arial" w:eastAsia="Arial" w:hAnsi="Arial" w:cs="Arial"/>
        </w:rPr>
        <w:t xml:space="preserve"> </w:t>
      </w:r>
    </w:p>
    <w:p w:rsidR="00885611" w:rsidRPr="00314FA4" w:rsidRDefault="00885611" w:rsidP="00885611">
      <w:pPr>
        <w:spacing w:after="317" w:line="287" w:lineRule="auto"/>
        <w:ind w:left="9" w:hanging="10"/>
        <w:rPr>
          <w:rFonts w:ascii="Arial" w:eastAsia="Arial" w:hAnsi="Arial" w:cs="Arial"/>
        </w:rPr>
      </w:pPr>
      <w:r w:rsidRPr="00314FA4">
        <w:rPr>
          <w:rFonts w:ascii="Arial" w:eastAsia="Arial" w:hAnsi="Arial" w:cs="Arial"/>
        </w:rPr>
        <w:t xml:space="preserve">Prosječna isplaćena penzija u FBiH u decembru 2021. godine iznosila je 428 KM, što je ostalo nepromijenjeno u odnosu na prethodnu godinu, dok je u BPK prosječna isplaćena penzija iznosila 467 KM, za 0,7% viša u odnosu na prethodnu godinu. </w:t>
      </w:r>
    </w:p>
    <w:p w:rsidR="00885611" w:rsidRPr="00314FA4" w:rsidRDefault="00885611" w:rsidP="00885611">
      <w:pPr>
        <w:tabs>
          <w:tab w:val="center" w:pos="1835"/>
          <w:tab w:val="center" w:pos="4207"/>
          <w:tab w:val="center" w:pos="4856"/>
          <w:tab w:val="center" w:pos="6619"/>
          <w:tab w:val="center" w:pos="7035"/>
        </w:tabs>
        <w:spacing w:after="2"/>
        <w:rPr>
          <w:rFonts w:ascii="Arial" w:eastAsia="Arial" w:hAnsi="Arial" w:cs="Arial"/>
        </w:rPr>
      </w:pPr>
      <w:r w:rsidRPr="00314FA4">
        <w:rPr>
          <w:rFonts w:ascii="Calibri" w:eastAsia="Calibri" w:hAnsi="Calibri" w:cs="Calibri"/>
        </w:rPr>
        <w:tab/>
      </w:r>
      <w:proofErr w:type="gramStart"/>
      <w:r w:rsidRPr="00314FA4">
        <w:rPr>
          <w:rFonts w:ascii="Arial" w:eastAsia="Arial" w:hAnsi="Arial" w:cs="Arial"/>
          <w:sz w:val="18"/>
        </w:rPr>
        <w:t xml:space="preserve">Tabela  </w:t>
      </w:r>
      <w:r w:rsidRPr="00314FA4">
        <w:rPr>
          <w:rFonts w:ascii="Arial" w:eastAsia="Arial" w:hAnsi="Arial" w:cs="Arial"/>
          <w:sz w:val="18"/>
        </w:rPr>
        <w:tab/>
      </w:r>
      <w:proofErr w:type="gramEnd"/>
      <w:r w:rsidRPr="00314FA4">
        <w:rPr>
          <w:rFonts w:ascii="Arial" w:eastAsia="Arial" w:hAnsi="Arial" w:cs="Arial"/>
          <w:sz w:val="18"/>
        </w:rPr>
        <w:t xml:space="preserve">24. </w:t>
      </w:r>
      <w:r w:rsidRPr="00314FA4">
        <w:rPr>
          <w:rFonts w:ascii="Arial" w:eastAsia="Arial" w:hAnsi="Arial" w:cs="Arial"/>
          <w:b/>
          <w:sz w:val="18"/>
        </w:rPr>
        <w:t xml:space="preserve">Broj penzionera i iznos penzija po </w:t>
      </w:r>
      <w:proofErr w:type="gramStart"/>
      <w:r w:rsidRPr="00314FA4">
        <w:rPr>
          <w:rFonts w:ascii="Arial" w:eastAsia="Arial" w:hAnsi="Arial" w:cs="Arial"/>
          <w:b/>
          <w:sz w:val="18"/>
        </w:rPr>
        <w:t xml:space="preserve">općinama </w:t>
      </w:r>
      <w:r w:rsidRPr="00314FA4">
        <w:rPr>
          <w:rFonts w:ascii="Arial" w:eastAsia="Arial" w:hAnsi="Arial" w:cs="Arial"/>
          <w:sz w:val="18"/>
        </w:rPr>
        <w:t xml:space="preserve"> </w:t>
      </w:r>
      <w:r w:rsidRPr="00314FA4">
        <w:rPr>
          <w:rFonts w:ascii="Arial" w:eastAsia="Arial" w:hAnsi="Arial" w:cs="Arial"/>
          <w:sz w:val="18"/>
        </w:rPr>
        <w:tab/>
      </w:r>
      <w:proofErr w:type="gramEnd"/>
      <w:r w:rsidRPr="00314FA4">
        <w:rPr>
          <w:rFonts w:ascii="Arial" w:eastAsia="Arial" w:hAnsi="Arial" w:cs="Arial"/>
          <w:sz w:val="18"/>
        </w:rPr>
        <w:t xml:space="preserve"> </w:t>
      </w:r>
      <w:r w:rsidRPr="00314FA4">
        <w:rPr>
          <w:rFonts w:ascii="Arial" w:eastAsia="Arial" w:hAnsi="Arial" w:cs="Arial"/>
          <w:sz w:val="18"/>
        </w:rPr>
        <w:tab/>
      </w:r>
      <w:r w:rsidRPr="00314FA4">
        <w:rPr>
          <w:rFonts w:ascii="Arial" w:eastAsia="Arial" w:hAnsi="Arial" w:cs="Arial"/>
          <w:b/>
          <w:sz w:val="18"/>
        </w:rPr>
        <w:t xml:space="preserve">BPK 2021 </w:t>
      </w:r>
    </w:p>
    <w:tbl>
      <w:tblPr>
        <w:tblStyle w:val="TableGrid"/>
        <w:tblW w:w="6586" w:type="dxa"/>
        <w:tblInd w:w="1454" w:type="dxa"/>
        <w:tblCellMar>
          <w:top w:w="12" w:type="dxa"/>
          <w:left w:w="106" w:type="dxa"/>
          <w:right w:w="55" w:type="dxa"/>
        </w:tblCellMar>
        <w:tblLook w:val="04A0" w:firstRow="1" w:lastRow="0" w:firstColumn="1" w:lastColumn="0" w:noHBand="0" w:noVBand="1"/>
      </w:tblPr>
      <w:tblGrid>
        <w:gridCol w:w="2126"/>
        <w:gridCol w:w="1168"/>
        <w:gridCol w:w="1668"/>
        <w:gridCol w:w="1624"/>
      </w:tblGrid>
      <w:tr w:rsidR="00D74819" w:rsidRPr="00314FA4" w:rsidTr="00885611">
        <w:trPr>
          <w:trHeight w:val="636"/>
        </w:trPr>
        <w:tc>
          <w:tcPr>
            <w:tcW w:w="2126" w:type="dxa"/>
            <w:tcBorders>
              <w:top w:val="single" w:sz="8" w:space="0" w:color="1F497D"/>
              <w:left w:val="single" w:sz="8" w:space="0" w:color="1F497D"/>
              <w:bottom w:val="single" w:sz="8" w:space="0" w:color="1F497D"/>
              <w:right w:val="single" w:sz="8" w:space="0" w:color="1F497D"/>
            </w:tcBorders>
            <w:shd w:val="clear" w:color="auto" w:fill="5089BC"/>
            <w:vAlign w:val="center"/>
          </w:tcPr>
          <w:p w:rsidR="00885611" w:rsidRPr="00314FA4" w:rsidRDefault="00885611" w:rsidP="00885611">
            <w:pPr>
              <w:ind w:right="54"/>
              <w:jc w:val="center"/>
              <w:rPr>
                <w:rFonts w:ascii="Arial" w:eastAsia="Arial" w:hAnsi="Arial" w:cs="Arial"/>
              </w:rPr>
            </w:pPr>
            <w:r w:rsidRPr="00314FA4">
              <w:rPr>
                <w:rFonts w:ascii="Arial" w:eastAsia="Arial" w:hAnsi="Arial" w:cs="Arial"/>
                <w:b/>
                <w:sz w:val="18"/>
              </w:rPr>
              <w:t xml:space="preserve">Općine </w:t>
            </w:r>
          </w:p>
        </w:tc>
        <w:tc>
          <w:tcPr>
            <w:tcW w:w="1168" w:type="dxa"/>
            <w:tcBorders>
              <w:top w:val="single" w:sz="8" w:space="0" w:color="1F497D"/>
              <w:left w:val="single" w:sz="8" w:space="0" w:color="1F497D"/>
              <w:bottom w:val="single" w:sz="8" w:space="0" w:color="1F497D"/>
              <w:right w:val="single" w:sz="8" w:space="0" w:color="1F497D"/>
            </w:tcBorders>
            <w:shd w:val="clear" w:color="auto" w:fill="5089BC"/>
            <w:vAlign w:val="center"/>
          </w:tcPr>
          <w:p w:rsidR="00885611" w:rsidRPr="00314FA4" w:rsidRDefault="00885611" w:rsidP="00885611">
            <w:pPr>
              <w:jc w:val="center"/>
              <w:rPr>
                <w:rFonts w:ascii="Arial" w:eastAsia="Arial" w:hAnsi="Arial" w:cs="Arial"/>
              </w:rPr>
            </w:pPr>
            <w:r w:rsidRPr="00314FA4">
              <w:rPr>
                <w:rFonts w:ascii="Arial" w:eastAsia="Arial" w:hAnsi="Arial" w:cs="Arial"/>
                <w:b/>
                <w:sz w:val="18"/>
              </w:rPr>
              <w:t xml:space="preserve">Broj penzionera </w:t>
            </w:r>
          </w:p>
        </w:tc>
        <w:tc>
          <w:tcPr>
            <w:tcW w:w="1668" w:type="dxa"/>
            <w:tcBorders>
              <w:top w:val="single" w:sz="8" w:space="0" w:color="1F497D"/>
              <w:left w:val="single" w:sz="8" w:space="0" w:color="1F497D"/>
              <w:bottom w:val="single" w:sz="8" w:space="0" w:color="1F497D"/>
              <w:right w:val="single" w:sz="8" w:space="0" w:color="1F497D"/>
            </w:tcBorders>
            <w:shd w:val="clear" w:color="auto" w:fill="5089BC"/>
          </w:tcPr>
          <w:p w:rsidR="00885611" w:rsidRPr="00314FA4" w:rsidRDefault="00885611" w:rsidP="00885611">
            <w:pPr>
              <w:jc w:val="center"/>
              <w:rPr>
                <w:rFonts w:ascii="Arial" w:eastAsia="Arial" w:hAnsi="Arial" w:cs="Arial"/>
              </w:rPr>
            </w:pPr>
            <w:r w:rsidRPr="00314FA4">
              <w:rPr>
                <w:rFonts w:ascii="Arial" w:eastAsia="Arial" w:hAnsi="Arial" w:cs="Arial"/>
                <w:b/>
                <w:sz w:val="18"/>
              </w:rPr>
              <w:t xml:space="preserve">Ukupan iznos isplaćenih penzija/mirovina </w:t>
            </w:r>
          </w:p>
        </w:tc>
        <w:tc>
          <w:tcPr>
            <w:tcW w:w="1624" w:type="dxa"/>
            <w:tcBorders>
              <w:top w:val="single" w:sz="8" w:space="0" w:color="1F497D"/>
              <w:left w:val="single" w:sz="8" w:space="0" w:color="1F497D"/>
              <w:bottom w:val="single" w:sz="8" w:space="0" w:color="1F497D"/>
              <w:right w:val="single" w:sz="8" w:space="0" w:color="1F497D"/>
            </w:tcBorders>
            <w:shd w:val="clear" w:color="auto" w:fill="5089BC"/>
          </w:tcPr>
          <w:p w:rsidR="00885611" w:rsidRPr="00314FA4" w:rsidRDefault="00885611" w:rsidP="00885611">
            <w:pPr>
              <w:jc w:val="center"/>
              <w:rPr>
                <w:rFonts w:ascii="Arial" w:eastAsia="Arial" w:hAnsi="Arial" w:cs="Arial"/>
              </w:rPr>
            </w:pPr>
            <w:r w:rsidRPr="00314FA4">
              <w:rPr>
                <w:rFonts w:ascii="Arial" w:eastAsia="Arial" w:hAnsi="Arial" w:cs="Arial"/>
                <w:b/>
                <w:sz w:val="18"/>
              </w:rPr>
              <w:t xml:space="preserve">Prosječna penzija/mirovina u KM </w:t>
            </w:r>
          </w:p>
        </w:tc>
      </w:tr>
      <w:tr w:rsidR="00D74819" w:rsidRPr="00314FA4" w:rsidTr="00885611">
        <w:trPr>
          <w:trHeight w:val="308"/>
        </w:trPr>
        <w:tc>
          <w:tcPr>
            <w:tcW w:w="2126" w:type="dxa"/>
            <w:tcBorders>
              <w:top w:val="single" w:sz="8" w:space="0" w:color="1F497D"/>
              <w:left w:val="single" w:sz="8" w:space="0" w:color="1F497D"/>
              <w:bottom w:val="single" w:sz="8" w:space="0" w:color="1F497D"/>
              <w:right w:val="single" w:sz="8" w:space="0" w:color="1F497D"/>
            </w:tcBorders>
          </w:tcPr>
          <w:p w:rsidR="00885611" w:rsidRPr="00314FA4" w:rsidRDefault="00885611" w:rsidP="00885611">
            <w:pPr>
              <w:rPr>
                <w:rFonts w:ascii="Arial" w:eastAsia="Arial" w:hAnsi="Arial" w:cs="Arial"/>
              </w:rPr>
            </w:pPr>
            <w:r w:rsidRPr="00314FA4">
              <w:rPr>
                <w:rFonts w:ascii="Arial" w:eastAsia="Arial" w:hAnsi="Arial" w:cs="Arial"/>
                <w:sz w:val="18"/>
              </w:rPr>
              <w:t xml:space="preserve">Goraže </w:t>
            </w:r>
          </w:p>
        </w:tc>
        <w:tc>
          <w:tcPr>
            <w:tcW w:w="1168" w:type="dxa"/>
            <w:tcBorders>
              <w:top w:val="single" w:sz="8" w:space="0" w:color="1F497D"/>
              <w:left w:val="single" w:sz="8" w:space="0" w:color="1F497D"/>
              <w:bottom w:val="single" w:sz="8" w:space="0" w:color="1F497D"/>
              <w:right w:val="single" w:sz="8" w:space="0" w:color="1F497D"/>
            </w:tcBorders>
          </w:tcPr>
          <w:p w:rsidR="00885611" w:rsidRPr="00314FA4" w:rsidRDefault="00885611" w:rsidP="00885611">
            <w:pPr>
              <w:ind w:right="52"/>
              <w:jc w:val="right"/>
              <w:rPr>
                <w:rFonts w:ascii="Arial" w:eastAsia="Arial" w:hAnsi="Arial" w:cs="Arial"/>
              </w:rPr>
            </w:pPr>
            <w:r w:rsidRPr="00314FA4">
              <w:rPr>
                <w:rFonts w:ascii="Arial" w:eastAsia="Arial" w:hAnsi="Arial" w:cs="Arial"/>
                <w:sz w:val="18"/>
              </w:rPr>
              <w:t xml:space="preserve">5.441 </w:t>
            </w:r>
          </w:p>
        </w:tc>
        <w:tc>
          <w:tcPr>
            <w:tcW w:w="1668" w:type="dxa"/>
            <w:tcBorders>
              <w:top w:val="single" w:sz="8" w:space="0" w:color="1F497D"/>
              <w:left w:val="single" w:sz="8" w:space="0" w:color="1F497D"/>
              <w:bottom w:val="single" w:sz="8" w:space="0" w:color="1F497D"/>
              <w:right w:val="single" w:sz="8" w:space="0" w:color="1F497D"/>
            </w:tcBorders>
          </w:tcPr>
          <w:p w:rsidR="00885611" w:rsidRPr="00314FA4" w:rsidRDefault="00885611" w:rsidP="00885611">
            <w:pPr>
              <w:ind w:right="52"/>
              <w:jc w:val="right"/>
              <w:rPr>
                <w:rFonts w:ascii="Arial" w:eastAsia="Arial" w:hAnsi="Arial" w:cs="Arial"/>
              </w:rPr>
            </w:pPr>
            <w:r w:rsidRPr="00314FA4">
              <w:rPr>
                <w:rFonts w:ascii="Arial" w:eastAsia="Arial" w:hAnsi="Arial" w:cs="Arial"/>
                <w:sz w:val="18"/>
              </w:rPr>
              <w:t xml:space="preserve">2.539.618 </w:t>
            </w:r>
          </w:p>
        </w:tc>
        <w:tc>
          <w:tcPr>
            <w:tcW w:w="1624" w:type="dxa"/>
            <w:tcBorders>
              <w:top w:val="single" w:sz="8" w:space="0" w:color="1F497D"/>
              <w:left w:val="single" w:sz="8" w:space="0" w:color="1F497D"/>
              <w:bottom w:val="single" w:sz="8" w:space="0" w:color="1F497D"/>
              <w:right w:val="single" w:sz="8" w:space="0" w:color="1F497D"/>
            </w:tcBorders>
          </w:tcPr>
          <w:p w:rsidR="00885611" w:rsidRPr="00314FA4" w:rsidRDefault="00885611" w:rsidP="00885611">
            <w:pPr>
              <w:ind w:right="48"/>
              <w:jc w:val="center"/>
              <w:rPr>
                <w:rFonts w:ascii="Arial" w:eastAsia="Arial" w:hAnsi="Arial" w:cs="Arial"/>
              </w:rPr>
            </w:pPr>
            <w:r w:rsidRPr="00314FA4">
              <w:rPr>
                <w:rFonts w:ascii="Arial" w:eastAsia="Arial" w:hAnsi="Arial" w:cs="Arial"/>
                <w:sz w:val="18"/>
              </w:rPr>
              <w:t xml:space="preserve">467 </w:t>
            </w:r>
          </w:p>
        </w:tc>
      </w:tr>
      <w:tr w:rsidR="00D74819" w:rsidRPr="00314FA4" w:rsidTr="00885611">
        <w:trPr>
          <w:trHeight w:val="432"/>
        </w:trPr>
        <w:tc>
          <w:tcPr>
            <w:tcW w:w="2126" w:type="dxa"/>
            <w:tcBorders>
              <w:top w:val="single" w:sz="8" w:space="0" w:color="1F497D"/>
              <w:left w:val="single" w:sz="8" w:space="0" w:color="1F497D"/>
              <w:bottom w:val="single" w:sz="8" w:space="0" w:color="1F497D"/>
              <w:right w:val="single" w:sz="8" w:space="0" w:color="1F497D"/>
            </w:tcBorders>
            <w:shd w:val="clear" w:color="auto" w:fill="5089BC"/>
          </w:tcPr>
          <w:p w:rsidR="00885611" w:rsidRPr="00314FA4" w:rsidRDefault="00885611" w:rsidP="00885611">
            <w:pPr>
              <w:ind w:right="42"/>
              <w:rPr>
                <w:rFonts w:ascii="Arial" w:eastAsia="Arial" w:hAnsi="Arial" w:cs="Arial"/>
              </w:rPr>
            </w:pPr>
            <w:r w:rsidRPr="00314FA4">
              <w:rPr>
                <w:rFonts w:ascii="Arial" w:eastAsia="Arial" w:hAnsi="Arial" w:cs="Arial"/>
                <w:b/>
                <w:sz w:val="18"/>
              </w:rPr>
              <w:t xml:space="preserve">Bosansko – podrinjski kanton </w:t>
            </w:r>
          </w:p>
        </w:tc>
        <w:tc>
          <w:tcPr>
            <w:tcW w:w="1168" w:type="dxa"/>
            <w:tcBorders>
              <w:top w:val="single" w:sz="8" w:space="0" w:color="1F497D"/>
              <w:left w:val="single" w:sz="8" w:space="0" w:color="1F497D"/>
              <w:bottom w:val="single" w:sz="8" w:space="0" w:color="1F497D"/>
              <w:right w:val="single" w:sz="8" w:space="0" w:color="1F497D"/>
            </w:tcBorders>
            <w:shd w:val="clear" w:color="auto" w:fill="5089BC"/>
            <w:vAlign w:val="center"/>
          </w:tcPr>
          <w:p w:rsidR="00885611" w:rsidRPr="00314FA4" w:rsidRDefault="00885611" w:rsidP="00885611">
            <w:pPr>
              <w:ind w:right="52"/>
              <w:jc w:val="right"/>
              <w:rPr>
                <w:rFonts w:ascii="Arial" w:eastAsia="Arial" w:hAnsi="Arial" w:cs="Arial"/>
              </w:rPr>
            </w:pPr>
            <w:r w:rsidRPr="00314FA4">
              <w:rPr>
                <w:rFonts w:ascii="Arial" w:eastAsia="Arial" w:hAnsi="Arial" w:cs="Arial"/>
                <w:sz w:val="18"/>
              </w:rPr>
              <w:t xml:space="preserve">5.441 </w:t>
            </w:r>
          </w:p>
        </w:tc>
        <w:tc>
          <w:tcPr>
            <w:tcW w:w="1668" w:type="dxa"/>
            <w:tcBorders>
              <w:top w:val="single" w:sz="8" w:space="0" w:color="1F497D"/>
              <w:left w:val="single" w:sz="8" w:space="0" w:color="1F497D"/>
              <w:bottom w:val="single" w:sz="8" w:space="0" w:color="1F497D"/>
              <w:right w:val="single" w:sz="8" w:space="0" w:color="1F497D"/>
            </w:tcBorders>
            <w:shd w:val="clear" w:color="auto" w:fill="5089BC"/>
            <w:vAlign w:val="center"/>
          </w:tcPr>
          <w:p w:rsidR="00885611" w:rsidRPr="00314FA4" w:rsidRDefault="00885611" w:rsidP="00885611">
            <w:pPr>
              <w:ind w:right="52"/>
              <w:jc w:val="right"/>
              <w:rPr>
                <w:rFonts w:ascii="Arial" w:eastAsia="Arial" w:hAnsi="Arial" w:cs="Arial"/>
              </w:rPr>
            </w:pPr>
            <w:r w:rsidRPr="00314FA4">
              <w:rPr>
                <w:rFonts w:ascii="Arial" w:eastAsia="Arial" w:hAnsi="Arial" w:cs="Arial"/>
                <w:sz w:val="18"/>
              </w:rPr>
              <w:t xml:space="preserve">2.539.618 </w:t>
            </w:r>
          </w:p>
        </w:tc>
        <w:tc>
          <w:tcPr>
            <w:tcW w:w="1624" w:type="dxa"/>
            <w:tcBorders>
              <w:top w:val="single" w:sz="8" w:space="0" w:color="1F497D"/>
              <w:left w:val="single" w:sz="8" w:space="0" w:color="1F497D"/>
              <w:bottom w:val="single" w:sz="8" w:space="0" w:color="1F497D"/>
              <w:right w:val="single" w:sz="8" w:space="0" w:color="1F497D"/>
            </w:tcBorders>
            <w:shd w:val="clear" w:color="auto" w:fill="5089BC"/>
            <w:vAlign w:val="center"/>
          </w:tcPr>
          <w:p w:rsidR="00885611" w:rsidRPr="00314FA4" w:rsidRDefault="00885611" w:rsidP="00885611">
            <w:pPr>
              <w:ind w:right="48"/>
              <w:jc w:val="center"/>
              <w:rPr>
                <w:rFonts w:ascii="Arial" w:eastAsia="Arial" w:hAnsi="Arial" w:cs="Arial"/>
              </w:rPr>
            </w:pPr>
            <w:r w:rsidRPr="00314FA4">
              <w:rPr>
                <w:rFonts w:ascii="Arial" w:eastAsia="Arial" w:hAnsi="Arial" w:cs="Arial"/>
                <w:sz w:val="18"/>
              </w:rPr>
              <w:t xml:space="preserve">467 </w:t>
            </w:r>
          </w:p>
        </w:tc>
      </w:tr>
      <w:tr w:rsidR="00D74819" w:rsidRPr="00314FA4" w:rsidTr="00885611">
        <w:trPr>
          <w:trHeight w:val="302"/>
        </w:trPr>
        <w:tc>
          <w:tcPr>
            <w:tcW w:w="2126" w:type="dxa"/>
            <w:tcBorders>
              <w:top w:val="single" w:sz="8" w:space="0" w:color="1F497D"/>
              <w:left w:val="single" w:sz="8" w:space="0" w:color="1F497D"/>
              <w:bottom w:val="single" w:sz="8" w:space="0" w:color="1F497D"/>
              <w:right w:val="single" w:sz="8" w:space="0" w:color="1F497D"/>
            </w:tcBorders>
            <w:shd w:val="clear" w:color="auto" w:fill="5089BC"/>
          </w:tcPr>
          <w:p w:rsidR="00885611" w:rsidRPr="00314FA4" w:rsidRDefault="00885611" w:rsidP="00885611">
            <w:pPr>
              <w:rPr>
                <w:rFonts w:ascii="Arial" w:eastAsia="Arial" w:hAnsi="Arial" w:cs="Arial"/>
              </w:rPr>
            </w:pPr>
            <w:r w:rsidRPr="00314FA4">
              <w:rPr>
                <w:rFonts w:ascii="Arial" w:eastAsia="Arial" w:hAnsi="Arial" w:cs="Arial"/>
                <w:b/>
                <w:sz w:val="18"/>
              </w:rPr>
              <w:t xml:space="preserve">Federacija BiH  </w:t>
            </w:r>
          </w:p>
        </w:tc>
        <w:tc>
          <w:tcPr>
            <w:tcW w:w="1168" w:type="dxa"/>
            <w:tcBorders>
              <w:top w:val="single" w:sz="8" w:space="0" w:color="1F497D"/>
              <w:left w:val="single" w:sz="8" w:space="0" w:color="1F497D"/>
              <w:bottom w:val="single" w:sz="8" w:space="0" w:color="1F497D"/>
              <w:right w:val="single" w:sz="8" w:space="0" w:color="1F497D"/>
            </w:tcBorders>
            <w:shd w:val="clear" w:color="auto" w:fill="5089BC"/>
          </w:tcPr>
          <w:p w:rsidR="00885611" w:rsidRPr="00314FA4" w:rsidRDefault="00885611" w:rsidP="00885611">
            <w:pPr>
              <w:ind w:right="52"/>
              <w:jc w:val="right"/>
              <w:rPr>
                <w:rFonts w:ascii="Arial" w:eastAsia="Arial" w:hAnsi="Arial" w:cs="Arial"/>
              </w:rPr>
            </w:pPr>
            <w:r w:rsidRPr="00314FA4">
              <w:rPr>
                <w:rFonts w:ascii="Arial" w:eastAsia="Arial" w:hAnsi="Arial" w:cs="Arial"/>
                <w:b/>
                <w:sz w:val="18"/>
              </w:rPr>
              <w:t xml:space="preserve">351.378 </w:t>
            </w:r>
          </w:p>
        </w:tc>
        <w:tc>
          <w:tcPr>
            <w:tcW w:w="1668" w:type="dxa"/>
            <w:tcBorders>
              <w:top w:val="single" w:sz="8" w:space="0" w:color="1F497D"/>
              <w:left w:val="single" w:sz="8" w:space="0" w:color="1F497D"/>
              <w:bottom w:val="single" w:sz="8" w:space="0" w:color="1F497D"/>
              <w:right w:val="single" w:sz="8" w:space="0" w:color="1F497D"/>
            </w:tcBorders>
            <w:shd w:val="clear" w:color="auto" w:fill="5089BC"/>
          </w:tcPr>
          <w:p w:rsidR="00885611" w:rsidRPr="00314FA4" w:rsidRDefault="00885611" w:rsidP="00885611">
            <w:pPr>
              <w:ind w:right="53"/>
              <w:jc w:val="right"/>
              <w:rPr>
                <w:rFonts w:ascii="Arial" w:eastAsia="Arial" w:hAnsi="Arial" w:cs="Arial"/>
              </w:rPr>
            </w:pPr>
            <w:r w:rsidRPr="00314FA4">
              <w:rPr>
                <w:rFonts w:ascii="Arial" w:eastAsia="Arial" w:hAnsi="Arial" w:cs="Arial"/>
                <w:b/>
                <w:sz w:val="18"/>
              </w:rPr>
              <w:t xml:space="preserve">166.168.632 </w:t>
            </w:r>
          </w:p>
        </w:tc>
        <w:tc>
          <w:tcPr>
            <w:tcW w:w="1624" w:type="dxa"/>
            <w:tcBorders>
              <w:top w:val="single" w:sz="8" w:space="0" w:color="1F497D"/>
              <w:left w:val="single" w:sz="8" w:space="0" w:color="1F497D"/>
              <w:bottom w:val="single" w:sz="8" w:space="0" w:color="1F497D"/>
              <w:right w:val="single" w:sz="8" w:space="0" w:color="1F497D"/>
            </w:tcBorders>
            <w:shd w:val="clear" w:color="auto" w:fill="5089BC"/>
          </w:tcPr>
          <w:p w:rsidR="00885611" w:rsidRPr="00314FA4" w:rsidRDefault="00885611" w:rsidP="00885611">
            <w:pPr>
              <w:ind w:right="48"/>
              <w:jc w:val="center"/>
              <w:rPr>
                <w:rFonts w:ascii="Arial" w:eastAsia="Arial" w:hAnsi="Arial" w:cs="Arial"/>
              </w:rPr>
            </w:pPr>
            <w:r w:rsidRPr="00314FA4">
              <w:rPr>
                <w:rFonts w:ascii="Arial" w:eastAsia="Arial" w:hAnsi="Arial" w:cs="Arial"/>
                <w:b/>
                <w:sz w:val="18"/>
              </w:rPr>
              <w:t xml:space="preserve">473 </w:t>
            </w:r>
          </w:p>
        </w:tc>
      </w:tr>
      <w:tr w:rsidR="00D74819" w:rsidRPr="00314FA4" w:rsidTr="00885611">
        <w:trPr>
          <w:trHeight w:val="301"/>
        </w:trPr>
        <w:tc>
          <w:tcPr>
            <w:tcW w:w="2126" w:type="dxa"/>
            <w:tcBorders>
              <w:top w:val="single" w:sz="8" w:space="0" w:color="1F497D"/>
              <w:left w:val="single" w:sz="8" w:space="0" w:color="1F497D"/>
              <w:bottom w:val="single" w:sz="8" w:space="0" w:color="1F497D"/>
              <w:right w:val="single" w:sz="8" w:space="0" w:color="1F497D"/>
            </w:tcBorders>
            <w:shd w:val="clear" w:color="auto" w:fill="5089BC"/>
          </w:tcPr>
          <w:p w:rsidR="00885611" w:rsidRPr="00314FA4" w:rsidRDefault="00885611" w:rsidP="00885611">
            <w:pPr>
              <w:rPr>
                <w:rFonts w:ascii="Arial" w:eastAsia="Arial" w:hAnsi="Arial" w:cs="Arial"/>
              </w:rPr>
            </w:pPr>
            <w:r w:rsidRPr="00314FA4">
              <w:rPr>
                <w:rFonts w:ascii="Arial" w:eastAsia="Arial" w:hAnsi="Arial" w:cs="Arial"/>
                <w:b/>
                <w:sz w:val="18"/>
              </w:rPr>
              <w:t xml:space="preserve">UKUPNO PIO FBiH </w:t>
            </w:r>
          </w:p>
        </w:tc>
        <w:tc>
          <w:tcPr>
            <w:tcW w:w="1168" w:type="dxa"/>
            <w:tcBorders>
              <w:top w:val="single" w:sz="8" w:space="0" w:color="1F497D"/>
              <w:left w:val="single" w:sz="8" w:space="0" w:color="1F497D"/>
              <w:bottom w:val="single" w:sz="8" w:space="0" w:color="1F497D"/>
              <w:right w:val="single" w:sz="8" w:space="0" w:color="1F497D"/>
            </w:tcBorders>
            <w:shd w:val="clear" w:color="auto" w:fill="5089BC"/>
          </w:tcPr>
          <w:p w:rsidR="00885611" w:rsidRPr="00314FA4" w:rsidRDefault="00885611" w:rsidP="00885611">
            <w:pPr>
              <w:ind w:right="52"/>
              <w:jc w:val="right"/>
              <w:rPr>
                <w:rFonts w:ascii="Arial" w:eastAsia="Arial" w:hAnsi="Arial" w:cs="Arial"/>
              </w:rPr>
            </w:pPr>
            <w:r w:rsidRPr="00314FA4">
              <w:rPr>
                <w:rFonts w:ascii="Arial" w:eastAsia="Arial" w:hAnsi="Arial" w:cs="Arial"/>
                <w:b/>
                <w:sz w:val="18"/>
              </w:rPr>
              <w:t xml:space="preserve">429.545 </w:t>
            </w:r>
          </w:p>
        </w:tc>
        <w:tc>
          <w:tcPr>
            <w:tcW w:w="1668" w:type="dxa"/>
            <w:tcBorders>
              <w:top w:val="single" w:sz="8" w:space="0" w:color="1F497D"/>
              <w:left w:val="single" w:sz="8" w:space="0" w:color="1F497D"/>
              <w:bottom w:val="single" w:sz="8" w:space="0" w:color="1F497D"/>
              <w:right w:val="single" w:sz="8" w:space="0" w:color="1F497D"/>
            </w:tcBorders>
            <w:shd w:val="clear" w:color="auto" w:fill="5089BC"/>
          </w:tcPr>
          <w:p w:rsidR="00885611" w:rsidRPr="00314FA4" w:rsidRDefault="00885611" w:rsidP="00885611">
            <w:pPr>
              <w:ind w:right="53"/>
              <w:jc w:val="right"/>
              <w:rPr>
                <w:rFonts w:ascii="Arial" w:eastAsia="Arial" w:hAnsi="Arial" w:cs="Arial"/>
              </w:rPr>
            </w:pPr>
            <w:r w:rsidRPr="00314FA4">
              <w:rPr>
                <w:rFonts w:ascii="Arial" w:eastAsia="Arial" w:hAnsi="Arial" w:cs="Arial"/>
                <w:b/>
                <w:sz w:val="18"/>
              </w:rPr>
              <w:t xml:space="preserve">183.631.363 </w:t>
            </w:r>
          </w:p>
        </w:tc>
        <w:tc>
          <w:tcPr>
            <w:tcW w:w="1624" w:type="dxa"/>
            <w:tcBorders>
              <w:top w:val="single" w:sz="8" w:space="0" w:color="1F497D"/>
              <w:left w:val="single" w:sz="8" w:space="0" w:color="1F497D"/>
              <w:bottom w:val="single" w:sz="8" w:space="0" w:color="1F497D"/>
              <w:right w:val="single" w:sz="8" w:space="0" w:color="1F497D"/>
            </w:tcBorders>
            <w:shd w:val="clear" w:color="auto" w:fill="5089BC"/>
          </w:tcPr>
          <w:p w:rsidR="00885611" w:rsidRPr="00314FA4" w:rsidRDefault="00885611" w:rsidP="00885611">
            <w:pPr>
              <w:ind w:right="48"/>
              <w:jc w:val="center"/>
              <w:rPr>
                <w:rFonts w:ascii="Arial" w:eastAsia="Arial" w:hAnsi="Arial" w:cs="Arial"/>
              </w:rPr>
            </w:pPr>
            <w:r w:rsidRPr="00314FA4">
              <w:rPr>
                <w:rFonts w:ascii="Arial" w:eastAsia="Arial" w:hAnsi="Arial" w:cs="Arial"/>
                <w:b/>
                <w:sz w:val="18"/>
              </w:rPr>
              <w:t xml:space="preserve">428 </w:t>
            </w:r>
          </w:p>
        </w:tc>
      </w:tr>
    </w:tbl>
    <w:p w:rsidR="00885611" w:rsidRPr="00314FA4" w:rsidRDefault="00885611" w:rsidP="00885611">
      <w:pPr>
        <w:spacing w:after="10"/>
        <w:ind w:left="1133" w:right="1461"/>
        <w:rPr>
          <w:rFonts w:ascii="Arial" w:eastAsia="Arial" w:hAnsi="Arial" w:cs="Arial"/>
        </w:rPr>
      </w:pPr>
      <w:r w:rsidRPr="00314FA4">
        <w:rPr>
          <w:rFonts w:ascii="Arial" w:eastAsia="Arial" w:hAnsi="Arial" w:cs="Arial"/>
          <w:sz w:val="16"/>
        </w:rPr>
        <w:t xml:space="preserve"> </w:t>
      </w:r>
      <w:r w:rsidRPr="00314FA4">
        <w:rPr>
          <w:rFonts w:ascii="Arial" w:eastAsia="Arial" w:hAnsi="Arial" w:cs="Arial"/>
          <w:sz w:val="10"/>
        </w:rPr>
        <w:t xml:space="preserve"> </w:t>
      </w:r>
    </w:p>
    <w:p w:rsidR="00885611" w:rsidRPr="00314FA4" w:rsidRDefault="00885611" w:rsidP="00885611">
      <w:pPr>
        <w:spacing w:after="62" w:line="266" w:lineRule="auto"/>
        <w:ind w:left="1428" w:right="1592" w:hanging="10"/>
        <w:rPr>
          <w:rFonts w:ascii="Arial" w:eastAsia="Arial" w:hAnsi="Arial" w:cs="Arial"/>
        </w:rPr>
      </w:pPr>
      <w:r w:rsidRPr="00314FA4">
        <w:rPr>
          <w:rFonts w:ascii="Arial" w:eastAsia="Arial" w:hAnsi="Arial" w:cs="Arial"/>
          <w:sz w:val="16"/>
        </w:rPr>
        <w:t xml:space="preserve">Napomena: Podaci za Foču i Pale se ne rade odvojeno. </w:t>
      </w:r>
    </w:p>
    <w:p w:rsidR="00885611" w:rsidRPr="00314FA4" w:rsidRDefault="00885611" w:rsidP="00885611">
      <w:pPr>
        <w:spacing w:after="0"/>
        <w:rPr>
          <w:rFonts w:ascii="Arial" w:eastAsia="Arial" w:hAnsi="Arial" w:cs="Arial"/>
        </w:rPr>
      </w:pPr>
      <w:r w:rsidRPr="00314FA4">
        <w:rPr>
          <w:rFonts w:ascii="Arial" w:eastAsia="Arial" w:hAnsi="Arial" w:cs="Arial"/>
        </w:rPr>
        <w:t xml:space="preserve"> </w:t>
      </w:r>
    </w:p>
    <w:p w:rsidR="00885611" w:rsidRPr="00314FA4" w:rsidRDefault="00885611" w:rsidP="00885611">
      <w:pPr>
        <w:tabs>
          <w:tab w:val="center" w:pos="926"/>
          <w:tab w:val="center" w:pos="4345"/>
        </w:tabs>
        <w:spacing w:after="2"/>
        <w:rPr>
          <w:rFonts w:ascii="Arial" w:eastAsia="Arial" w:hAnsi="Arial" w:cs="Arial"/>
        </w:rPr>
      </w:pPr>
      <w:r w:rsidRPr="00314FA4">
        <w:rPr>
          <w:rFonts w:ascii="Calibri" w:eastAsia="Calibri" w:hAnsi="Calibri" w:cs="Calibri"/>
        </w:rPr>
        <w:tab/>
      </w:r>
      <w:r w:rsidRPr="00314FA4">
        <w:rPr>
          <w:rFonts w:ascii="Arial" w:eastAsia="Arial" w:hAnsi="Arial" w:cs="Arial"/>
          <w:i/>
          <w:sz w:val="18"/>
        </w:rPr>
        <w:t xml:space="preserve"> </w:t>
      </w:r>
      <w:r w:rsidRPr="00314FA4">
        <w:rPr>
          <w:rFonts w:ascii="Arial" w:eastAsia="Arial" w:hAnsi="Arial" w:cs="Arial"/>
          <w:i/>
          <w:sz w:val="18"/>
        </w:rPr>
        <w:tab/>
      </w:r>
      <w:r w:rsidRPr="00314FA4">
        <w:rPr>
          <w:rFonts w:ascii="Arial" w:eastAsia="Arial" w:hAnsi="Arial" w:cs="Arial"/>
          <w:sz w:val="18"/>
        </w:rPr>
        <w:t>Grafikon 53.</w:t>
      </w:r>
      <w:r w:rsidRPr="00314FA4">
        <w:rPr>
          <w:rFonts w:ascii="Times New Roman" w:eastAsia="Times New Roman" w:hAnsi="Times New Roman" w:cs="Times New Roman"/>
          <w:i/>
          <w:sz w:val="18"/>
        </w:rPr>
        <w:t xml:space="preserve"> </w:t>
      </w:r>
      <w:r w:rsidRPr="00314FA4">
        <w:rPr>
          <w:rFonts w:ascii="Arial" w:eastAsia="Arial" w:hAnsi="Arial" w:cs="Arial"/>
          <w:b/>
          <w:sz w:val="18"/>
        </w:rPr>
        <w:t>Vrste penzionera i penzija u BPK 2021</w:t>
      </w:r>
      <w:r w:rsidRPr="00314FA4">
        <w:rPr>
          <w:rFonts w:ascii="Arial" w:eastAsia="Arial" w:hAnsi="Arial" w:cs="Arial"/>
          <w:i/>
          <w:sz w:val="18"/>
        </w:rPr>
        <w:t xml:space="preserve"> </w:t>
      </w:r>
    </w:p>
    <w:p w:rsidR="00885611" w:rsidRPr="00314FA4" w:rsidRDefault="00885611" w:rsidP="00885611">
      <w:pPr>
        <w:spacing w:after="40"/>
        <w:ind w:left="1132"/>
        <w:rPr>
          <w:rFonts w:ascii="Arial" w:eastAsia="Arial" w:hAnsi="Arial" w:cs="Arial"/>
        </w:rPr>
      </w:pPr>
      <w:r w:rsidRPr="00314FA4">
        <w:rPr>
          <w:rFonts w:ascii="Arial" w:eastAsia="Arial" w:hAnsi="Arial" w:cs="Arial"/>
          <w:noProof/>
        </w:rPr>
        <w:drawing>
          <wp:inline distT="0" distB="0" distL="0" distR="0" wp14:anchorId="12D16513" wp14:editId="061F4506">
            <wp:extent cx="4590415" cy="269494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38175" name="Picture 38175"/>
                    <pic:cNvPicPr/>
                  </pic:nvPicPr>
                  <pic:blipFill>
                    <a:blip r:embed="rId20"/>
                    <a:stretch>
                      <a:fillRect/>
                    </a:stretch>
                  </pic:blipFill>
                  <pic:spPr>
                    <a:xfrm>
                      <a:off x="0" y="0"/>
                      <a:ext cx="4590415" cy="2694940"/>
                    </a:xfrm>
                    <a:prstGeom prst="rect">
                      <a:avLst/>
                    </a:prstGeom>
                  </pic:spPr>
                </pic:pic>
              </a:graphicData>
            </a:graphic>
          </wp:inline>
        </w:drawing>
      </w:r>
    </w:p>
    <w:p w:rsidR="00885611" w:rsidRPr="00314FA4" w:rsidRDefault="00885611" w:rsidP="00885611">
      <w:pPr>
        <w:spacing w:after="5" w:line="266" w:lineRule="auto"/>
        <w:ind w:left="1428" w:right="1592" w:hanging="10"/>
        <w:rPr>
          <w:rFonts w:ascii="Arial" w:eastAsia="Arial" w:hAnsi="Arial" w:cs="Arial"/>
        </w:rPr>
      </w:pPr>
      <w:r w:rsidRPr="00314FA4">
        <w:rPr>
          <w:rFonts w:ascii="Arial" w:eastAsia="Arial" w:hAnsi="Arial" w:cs="Arial"/>
          <w:sz w:val="16"/>
        </w:rPr>
        <w:t>Izvor podataka: (Federalni zavod za mirovinsko i invalidsko osiguranje Mostar, 2021)</w:t>
      </w:r>
      <w:r w:rsidRPr="00314FA4">
        <w:rPr>
          <w:rFonts w:ascii="Arial" w:eastAsia="Arial" w:hAnsi="Arial" w:cs="Arial"/>
        </w:rPr>
        <w:t xml:space="preserve"> </w:t>
      </w:r>
      <w:r w:rsidRPr="00314FA4">
        <w:rPr>
          <w:rFonts w:ascii="Arial" w:eastAsia="Arial" w:hAnsi="Arial" w:cs="Arial"/>
          <w:sz w:val="16"/>
        </w:rPr>
        <w:t>Obrada: Federalni zavod za programiranje razvoja</w:t>
      </w:r>
      <w:r w:rsidRPr="00314FA4">
        <w:rPr>
          <w:rFonts w:ascii="Arial" w:eastAsia="Arial" w:hAnsi="Arial" w:cs="Arial"/>
        </w:rPr>
        <w:t xml:space="preserve"> </w:t>
      </w:r>
    </w:p>
    <w:p w:rsidR="00885611" w:rsidRPr="00314FA4" w:rsidRDefault="00885611" w:rsidP="00885611">
      <w:pPr>
        <w:spacing w:after="37"/>
        <w:rPr>
          <w:rFonts w:ascii="Arial" w:eastAsia="Arial" w:hAnsi="Arial" w:cs="Arial"/>
        </w:rPr>
      </w:pPr>
      <w:r w:rsidRPr="00314FA4">
        <w:rPr>
          <w:rFonts w:ascii="Arial" w:eastAsia="Arial" w:hAnsi="Arial" w:cs="Arial"/>
        </w:rPr>
        <w:t xml:space="preserve"> </w:t>
      </w:r>
    </w:p>
    <w:p w:rsidR="00885611" w:rsidRPr="00314FA4" w:rsidRDefault="00885611" w:rsidP="00885611">
      <w:pPr>
        <w:spacing w:after="5" w:line="287" w:lineRule="auto"/>
        <w:ind w:left="9" w:hanging="10"/>
        <w:jc w:val="both"/>
        <w:rPr>
          <w:rFonts w:ascii="Arial" w:eastAsia="Arial" w:hAnsi="Arial" w:cs="Arial"/>
        </w:rPr>
      </w:pPr>
      <w:r w:rsidRPr="00314FA4">
        <w:rPr>
          <w:rFonts w:ascii="Arial" w:eastAsia="Arial" w:hAnsi="Arial" w:cs="Arial"/>
        </w:rPr>
        <w:t xml:space="preserve">Prema statističkim podacima ukupan broj poslovnih subjekata u FBiH na dan 31.12.2021. godine iznosi 117.160, što je više za 2,0 % u odnosu na prethodnu godinu. Ukupan broj poslovnih subjekata u BPK iznosi 1.098 i veći je za 38 ili 1,9% u odnosu na prethodnu godinu. Broj poslovnih subjekata u BPK učestvuje u ukupnom broju poslovnih subjekata u Federaciji BiH sa 0,9%. </w:t>
      </w:r>
    </w:p>
    <w:p w:rsidR="00885611" w:rsidRPr="00314FA4" w:rsidRDefault="00885611" w:rsidP="00885611">
      <w:pPr>
        <w:spacing w:after="16"/>
        <w:rPr>
          <w:rFonts w:ascii="Arial" w:eastAsia="Arial" w:hAnsi="Arial" w:cs="Arial"/>
        </w:rPr>
      </w:pPr>
      <w:r w:rsidRPr="00314FA4">
        <w:rPr>
          <w:rFonts w:ascii="Arial" w:eastAsia="Arial" w:hAnsi="Arial" w:cs="Arial"/>
        </w:rPr>
        <w:lastRenderedPageBreak/>
        <w:t xml:space="preserve"> </w:t>
      </w:r>
    </w:p>
    <w:p w:rsidR="00885611" w:rsidRPr="00314FA4" w:rsidRDefault="00885611" w:rsidP="00885611">
      <w:pPr>
        <w:spacing w:after="5" w:line="287" w:lineRule="auto"/>
        <w:ind w:left="9" w:hanging="10"/>
        <w:jc w:val="both"/>
        <w:rPr>
          <w:rFonts w:ascii="Arial" w:eastAsia="Arial" w:hAnsi="Arial" w:cs="Arial"/>
        </w:rPr>
      </w:pPr>
      <w:r w:rsidRPr="00314FA4">
        <w:rPr>
          <w:rFonts w:ascii="Arial" w:eastAsia="Arial" w:hAnsi="Arial" w:cs="Arial"/>
        </w:rPr>
        <w:t xml:space="preserve">Registrovan broj pravnih lica u FBiH na dan 31.12.2021. godine iznosi 63.972, što je više za 2,9% u odnosu na prethodnu godinu, dok u BPK broj registrovanih pravnih lica iznosi 601 i viši je za 17 ili 2,9% u odnosu na 2020. godinu. Broj registrovanih pravnih lica u BPK učestvuje u ukupnom broju registrovanih pravnih lica u Federaciji BiH sa 0,9%.  </w:t>
      </w:r>
    </w:p>
    <w:p w:rsidR="00885611" w:rsidRPr="00314FA4" w:rsidRDefault="00885611" w:rsidP="00885611">
      <w:pPr>
        <w:spacing w:after="29"/>
        <w:rPr>
          <w:rFonts w:ascii="Arial" w:eastAsia="Arial" w:hAnsi="Arial" w:cs="Arial"/>
        </w:rPr>
      </w:pPr>
      <w:r w:rsidRPr="00314FA4">
        <w:rPr>
          <w:rFonts w:ascii="Arial" w:eastAsia="Arial" w:hAnsi="Arial" w:cs="Arial"/>
        </w:rPr>
        <w:t xml:space="preserve"> </w:t>
      </w:r>
    </w:p>
    <w:p w:rsidR="00885611" w:rsidRPr="00314FA4" w:rsidRDefault="00885611" w:rsidP="00885611">
      <w:pPr>
        <w:spacing w:after="5" w:line="287" w:lineRule="auto"/>
        <w:ind w:left="9" w:hanging="10"/>
        <w:jc w:val="both"/>
        <w:rPr>
          <w:rFonts w:ascii="Arial" w:eastAsia="Arial" w:hAnsi="Arial" w:cs="Arial"/>
        </w:rPr>
      </w:pPr>
      <w:r w:rsidRPr="00314FA4">
        <w:rPr>
          <w:rFonts w:ascii="Arial" w:eastAsia="Arial" w:hAnsi="Arial" w:cs="Arial"/>
        </w:rPr>
        <w:t xml:space="preserve">Broj registrovanih fizičkih lica – obrtnika u FBiH, sa stanjem na dan 31.12.2021. godine iznosi </w:t>
      </w:r>
    </w:p>
    <w:p w:rsidR="00885611" w:rsidRPr="00314FA4" w:rsidRDefault="00885611" w:rsidP="00885611">
      <w:pPr>
        <w:spacing w:after="4" w:line="287" w:lineRule="auto"/>
        <w:ind w:left="9" w:hanging="10"/>
        <w:rPr>
          <w:rFonts w:ascii="Arial" w:eastAsia="Arial" w:hAnsi="Arial" w:cs="Arial"/>
        </w:rPr>
      </w:pPr>
      <w:r w:rsidRPr="00314FA4">
        <w:rPr>
          <w:rFonts w:ascii="Arial" w:eastAsia="Arial" w:hAnsi="Arial" w:cs="Arial"/>
        </w:rPr>
        <w:t xml:space="preserve">53.188 što je više za 1,0% u odnosu na 2020. godinu, dok u BPK broj registrovanih obrtnika iznosi 497 što je više za 21 ili 4,4% u odnosu na 2020. godinu. Broj registrovanih fizičkih lica - obrtnika u BPK učestvuje u ukupnom broju registrovanih fizičkih lica – obrtnika u Federaciji BiH sa 0,9%.  </w:t>
      </w:r>
    </w:p>
    <w:p w:rsidR="00885611" w:rsidRPr="00314FA4" w:rsidRDefault="00885611" w:rsidP="00885611">
      <w:pPr>
        <w:spacing w:after="35"/>
        <w:rPr>
          <w:rFonts w:ascii="Arial" w:eastAsia="Arial" w:hAnsi="Arial" w:cs="Arial"/>
        </w:rPr>
      </w:pPr>
      <w:r w:rsidRPr="00314FA4">
        <w:rPr>
          <w:rFonts w:ascii="Arial" w:eastAsia="Arial" w:hAnsi="Arial" w:cs="Arial"/>
        </w:rPr>
        <w:t xml:space="preserve"> </w:t>
      </w:r>
    </w:p>
    <w:p w:rsidR="00885611" w:rsidRPr="00314FA4" w:rsidRDefault="00885611" w:rsidP="00885611">
      <w:pPr>
        <w:spacing w:after="0"/>
        <w:ind w:left="197" w:right="336" w:hanging="10"/>
        <w:jc w:val="center"/>
        <w:rPr>
          <w:rFonts w:ascii="Arial" w:eastAsia="Arial" w:hAnsi="Arial" w:cs="Arial"/>
        </w:rPr>
      </w:pPr>
      <w:r w:rsidRPr="00314FA4">
        <w:rPr>
          <w:rFonts w:ascii="Arial" w:eastAsia="Arial" w:hAnsi="Arial" w:cs="Arial"/>
          <w:sz w:val="18"/>
        </w:rPr>
        <w:t>Grafikon 54.</w:t>
      </w:r>
      <w:r w:rsidRPr="00314FA4">
        <w:rPr>
          <w:rFonts w:ascii="Times New Roman" w:eastAsia="Times New Roman" w:hAnsi="Times New Roman" w:cs="Times New Roman"/>
          <w:sz w:val="18"/>
        </w:rPr>
        <w:t xml:space="preserve"> </w:t>
      </w:r>
      <w:r w:rsidRPr="00314FA4">
        <w:rPr>
          <w:rFonts w:ascii="Arial" w:eastAsia="Arial" w:hAnsi="Arial" w:cs="Arial"/>
          <w:b/>
          <w:sz w:val="18"/>
        </w:rPr>
        <w:t>Broj registrovanih poslovnih subjekata po općinama BPK 2021</w:t>
      </w:r>
      <w:r w:rsidRPr="00314FA4">
        <w:rPr>
          <w:rFonts w:ascii="Arial" w:eastAsia="Arial" w:hAnsi="Arial" w:cs="Arial"/>
          <w:i/>
          <w:sz w:val="18"/>
        </w:rPr>
        <w:t xml:space="preserve"> </w:t>
      </w:r>
    </w:p>
    <w:p w:rsidR="00885611" w:rsidRPr="00314FA4" w:rsidRDefault="00885611" w:rsidP="00885611">
      <w:pPr>
        <w:spacing w:after="16"/>
        <w:ind w:left="582"/>
        <w:rPr>
          <w:rFonts w:ascii="Arial" w:eastAsia="Arial" w:hAnsi="Arial" w:cs="Arial"/>
        </w:rPr>
      </w:pPr>
      <w:r w:rsidRPr="00314FA4">
        <w:rPr>
          <w:rFonts w:ascii="Arial" w:eastAsia="Arial" w:hAnsi="Arial" w:cs="Arial"/>
          <w:noProof/>
        </w:rPr>
        <w:drawing>
          <wp:inline distT="0" distB="0" distL="0" distR="0" wp14:anchorId="78A7B6B7" wp14:editId="55198BE1">
            <wp:extent cx="5316220" cy="208470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38177" name="Picture 38177"/>
                    <pic:cNvPicPr/>
                  </pic:nvPicPr>
                  <pic:blipFill>
                    <a:blip r:embed="rId21"/>
                    <a:stretch>
                      <a:fillRect/>
                    </a:stretch>
                  </pic:blipFill>
                  <pic:spPr>
                    <a:xfrm>
                      <a:off x="0" y="0"/>
                      <a:ext cx="5316220" cy="2084705"/>
                    </a:xfrm>
                    <a:prstGeom prst="rect">
                      <a:avLst/>
                    </a:prstGeom>
                  </pic:spPr>
                </pic:pic>
              </a:graphicData>
            </a:graphic>
          </wp:inline>
        </w:drawing>
      </w:r>
    </w:p>
    <w:p w:rsidR="00885611" w:rsidRPr="00314FA4" w:rsidRDefault="00885611" w:rsidP="00885611">
      <w:pPr>
        <w:spacing w:after="38" w:line="266" w:lineRule="auto"/>
        <w:ind w:left="1428" w:right="3750" w:hanging="10"/>
        <w:rPr>
          <w:rFonts w:ascii="Arial" w:eastAsia="Arial" w:hAnsi="Arial" w:cs="Arial"/>
        </w:rPr>
      </w:pPr>
      <w:r w:rsidRPr="00314FA4">
        <w:rPr>
          <w:rFonts w:ascii="Arial" w:eastAsia="Arial" w:hAnsi="Arial" w:cs="Arial"/>
          <w:sz w:val="16"/>
        </w:rPr>
        <w:t xml:space="preserve">Izvor podataka: (Federalni zavod za statistiku, 2021) Obrada: Federalni zavod za programiranje razvoja </w:t>
      </w:r>
    </w:p>
    <w:p w:rsidR="00885611" w:rsidRPr="00314FA4" w:rsidRDefault="00885611" w:rsidP="00885611">
      <w:pPr>
        <w:spacing w:after="0"/>
        <w:rPr>
          <w:rFonts w:ascii="Arial" w:eastAsia="Arial" w:hAnsi="Arial" w:cs="Arial"/>
        </w:rPr>
      </w:pPr>
      <w:r w:rsidRPr="00314FA4">
        <w:rPr>
          <w:rFonts w:ascii="Arial" w:eastAsia="Arial" w:hAnsi="Arial" w:cs="Arial"/>
        </w:rPr>
        <w:t xml:space="preserve"> </w:t>
      </w:r>
    </w:p>
    <w:p w:rsidR="00885611" w:rsidRPr="00314FA4" w:rsidRDefault="00885611" w:rsidP="00885611">
      <w:pPr>
        <w:spacing w:after="5" w:line="287" w:lineRule="auto"/>
        <w:ind w:left="9" w:hanging="10"/>
        <w:jc w:val="both"/>
        <w:rPr>
          <w:rFonts w:ascii="Arial" w:eastAsia="Arial" w:hAnsi="Arial" w:cs="Arial"/>
        </w:rPr>
      </w:pPr>
      <w:r w:rsidRPr="00314FA4">
        <w:rPr>
          <w:rFonts w:ascii="Arial" w:eastAsia="Arial" w:hAnsi="Arial" w:cs="Arial"/>
        </w:rPr>
        <w:t xml:space="preserve">U 2021. godini u Federaciji BiH ostvaren je izvoz u ukupnom iznosu od 9.571 mil. KM što je za 39,3% više u odnosu na izvoz u 2020. godini. U BPK izvoz iznosi 230 mil KM što je za 42,6% više u odnosu na prethodnu godinu. Izvoz BPK-a učestvuje u ukupnom izvozu FBiH sa 2,4%.  </w:t>
      </w:r>
    </w:p>
    <w:p w:rsidR="00885611" w:rsidRPr="00314FA4" w:rsidRDefault="00885611" w:rsidP="00885611">
      <w:pPr>
        <w:spacing w:after="37"/>
        <w:rPr>
          <w:rFonts w:ascii="Arial" w:eastAsia="Arial" w:hAnsi="Arial" w:cs="Arial"/>
        </w:rPr>
      </w:pPr>
      <w:r w:rsidRPr="00314FA4">
        <w:rPr>
          <w:rFonts w:ascii="Arial" w:eastAsia="Arial" w:hAnsi="Arial" w:cs="Arial"/>
        </w:rPr>
        <w:t xml:space="preserve"> </w:t>
      </w:r>
    </w:p>
    <w:p w:rsidR="00885611" w:rsidRPr="00314FA4" w:rsidRDefault="00885611" w:rsidP="00885611">
      <w:pPr>
        <w:spacing w:after="5" w:line="287" w:lineRule="auto"/>
        <w:ind w:left="9" w:hanging="10"/>
        <w:jc w:val="both"/>
        <w:rPr>
          <w:rFonts w:ascii="Arial" w:eastAsia="Arial" w:hAnsi="Arial" w:cs="Arial"/>
        </w:rPr>
      </w:pPr>
      <w:r w:rsidRPr="00314FA4">
        <w:rPr>
          <w:rFonts w:ascii="Arial" w:eastAsia="Arial" w:hAnsi="Arial" w:cs="Arial"/>
        </w:rPr>
        <w:t xml:space="preserve">Povećanje izvoza u BPK zabilježeno je u Goraždu za 42,9%, dok je smanjenje izvoza zabilježeno u općini Foča za 79,1% u odnosu na prethodnu godinu. </w:t>
      </w:r>
    </w:p>
    <w:p w:rsidR="00885611" w:rsidRPr="00314FA4" w:rsidRDefault="00885611" w:rsidP="00885611">
      <w:pPr>
        <w:spacing w:after="16"/>
        <w:rPr>
          <w:rFonts w:ascii="Arial" w:eastAsia="Arial" w:hAnsi="Arial" w:cs="Arial"/>
        </w:rPr>
      </w:pPr>
      <w:r w:rsidRPr="00314FA4">
        <w:rPr>
          <w:rFonts w:ascii="Arial" w:eastAsia="Arial" w:hAnsi="Arial" w:cs="Arial"/>
        </w:rPr>
        <w:t xml:space="preserve"> </w:t>
      </w:r>
    </w:p>
    <w:p w:rsidR="00885611" w:rsidRPr="00314FA4" w:rsidRDefault="00885611" w:rsidP="00885611">
      <w:pPr>
        <w:spacing w:after="5" w:line="287" w:lineRule="auto"/>
        <w:ind w:left="9" w:hanging="10"/>
        <w:jc w:val="both"/>
        <w:rPr>
          <w:rFonts w:ascii="Arial" w:eastAsia="Arial" w:hAnsi="Arial" w:cs="Arial"/>
        </w:rPr>
      </w:pPr>
      <w:r w:rsidRPr="00314FA4">
        <w:rPr>
          <w:rFonts w:ascii="Arial" w:eastAsia="Arial" w:hAnsi="Arial" w:cs="Arial"/>
        </w:rPr>
        <w:t xml:space="preserve">U 2021. godini u Federaciji BiH ostvaren je uvoz u ukupnom iznosu od 15.132 mil. KM što je za 29,5% više u odnosu na 2020. godinu. U BPK uvoz iznosi 131 mil. KM što je za 46,4% više u odnosu na prethodnu godinu. Uvoz BPK-a učestvuje u ukupnom uvozu FBiH sa 0,9%.  </w:t>
      </w:r>
    </w:p>
    <w:p w:rsidR="00885611" w:rsidRPr="00314FA4" w:rsidRDefault="00885611" w:rsidP="00885611">
      <w:pPr>
        <w:spacing w:after="53"/>
        <w:rPr>
          <w:rFonts w:ascii="Arial" w:eastAsia="Arial" w:hAnsi="Arial" w:cs="Arial"/>
        </w:rPr>
      </w:pPr>
      <w:r w:rsidRPr="00314FA4">
        <w:rPr>
          <w:rFonts w:ascii="Arial" w:eastAsia="Arial" w:hAnsi="Arial" w:cs="Arial"/>
        </w:rPr>
        <w:t xml:space="preserve"> </w:t>
      </w:r>
    </w:p>
    <w:p w:rsidR="00885611" w:rsidRPr="00314FA4" w:rsidRDefault="00885611" w:rsidP="00885611">
      <w:pPr>
        <w:spacing w:after="5" w:line="287" w:lineRule="auto"/>
        <w:ind w:left="9" w:hanging="10"/>
        <w:jc w:val="both"/>
        <w:rPr>
          <w:rFonts w:ascii="Arial" w:eastAsia="Arial" w:hAnsi="Arial" w:cs="Arial"/>
        </w:rPr>
      </w:pPr>
      <w:r w:rsidRPr="00314FA4">
        <w:rPr>
          <w:rFonts w:ascii="Arial" w:eastAsia="Arial" w:hAnsi="Arial" w:cs="Arial"/>
        </w:rPr>
        <w:t xml:space="preserve">Povećanje uvoza zabilježeno je u Goraždu za 47%, dok je smanjenje uvoza zabilježeno u Foči za 9,9% u odnosu na prethodnu godinu. </w:t>
      </w:r>
    </w:p>
    <w:p w:rsidR="00885611" w:rsidRPr="00314FA4" w:rsidRDefault="00885611" w:rsidP="00885611">
      <w:pPr>
        <w:spacing w:after="51"/>
        <w:rPr>
          <w:rFonts w:ascii="Arial" w:eastAsia="Arial" w:hAnsi="Arial" w:cs="Arial"/>
        </w:rPr>
      </w:pPr>
      <w:r w:rsidRPr="00314FA4">
        <w:rPr>
          <w:rFonts w:ascii="Arial" w:eastAsia="Arial" w:hAnsi="Arial" w:cs="Arial"/>
        </w:rPr>
        <w:t xml:space="preserve"> </w:t>
      </w:r>
    </w:p>
    <w:p w:rsidR="00885611" w:rsidRPr="00314FA4" w:rsidRDefault="00885611" w:rsidP="00885611">
      <w:pPr>
        <w:spacing w:after="5" w:line="287" w:lineRule="auto"/>
        <w:ind w:left="9" w:hanging="10"/>
        <w:jc w:val="both"/>
        <w:rPr>
          <w:rFonts w:ascii="Arial" w:eastAsia="Arial" w:hAnsi="Arial" w:cs="Arial"/>
        </w:rPr>
      </w:pPr>
      <w:r w:rsidRPr="00314FA4">
        <w:rPr>
          <w:rFonts w:ascii="Arial" w:eastAsia="Arial" w:hAnsi="Arial" w:cs="Arial"/>
        </w:rPr>
        <w:lastRenderedPageBreak/>
        <w:t xml:space="preserve">Trgovinski deficit Federacije BiH u 2021. godini ostvaren je u iznosu od 5.561 mil. KM i bilježi povećanje za 15,6%, dok je u </w:t>
      </w:r>
      <w:r w:rsidR="001A7162" w:rsidRPr="00314FA4">
        <w:rPr>
          <w:rFonts w:ascii="Arial" w:eastAsia="Arial" w:hAnsi="Arial" w:cs="Arial"/>
        </w:rPr>
        <w:t>BPK</w:t>
      </w:r>
      <w:r w:rsidRPr="00314FA4">
        <w:rPr>
          <w:rFonts w:ascii="Arial" w:eastAsia="Arial" w:hAnsi="Arial" w:cs="Arial"/>
        </w:rPr>
        <w:t xml:space="preserve"> i ove godine zabilježen suficit u iznosu od 99 </w:t>
      </w:r>
      <w:proofErr w:type="gramStart"/>
      <w:r w:rsidRPr="00314FA4">
        <w:rPr>
          <w:rFonts w:ascii="Arial" w:eastAsia="Arial" w:hAnsi="Arial" w:cs="Arial"/>
        </w:rPr>
        <w:t>mil</w:t>
      </w:r>
      <w:proofErr w:type="gramEnd"/>
      <w:r w:rsidRPr="00314FA4">
        <w:rPr>
          <w:rFonts w:ascii="Arial" w:eastAsia="Arial" w:hAnsi="Arial" w:cs="Arial"/>
        </w:rPr>
        <w:t xml:space="preserve">. KM i bilježi povećanje za 37,9% u odnosu na prethodnu godinu. </w:t>
      </w:r>
    </w:p>
    <w:p w:rsidR="00885611" w:rsidRPr="00314FA4" w:rsidRDefault="00885611" w:rsidP="00885611">
      <w:pPr>
        <w:spacing w:after="20"/>
        <w:rPr>
          <w:rFonts w:ascii="Arial" w:eastAsia="Arial" w:hAnsi="Arial" w:cs="Arial"/>
        </w:rPr>
      </w:pPr>
      <w:r w:rsidRPr="00314FA4">
        <w:rPr>
          <w:rFonts w:ascii="Arial" w:eastAsia="Arial" w:hAnsi="Arial" w:cs="Arial"/>
        </w:rPr>
        <w:t xml:space="preserve"> </w:t>
      </w:r>
    </w:p>
    <w:p w:rsidR="00885611" w:rsidRPr="00314FA4" w:rsidRDefault="00885611" w:rsidP="00885611">
      <w:pPr>
        <w:spacing w:after="5" w:line="287" w:lineRule="auto"/>
        <w:ind w:left="9" w:hanging="10"/>
        <w:jc w:val="both"/>
        <w:rPr>
          <w:rFonts w:ascii="Arial" w:eastAsia="Arial" w:hAnsi="Arial" w:cs="Arial"/>
        </w:rPr>
      </w:pPr>
      <w:r w:rsidRPr="00314FA4">
        <w:rPr>
          <w:rFonts w:ascii="Arial" w:eastAsia="Arial" w:hAnsi="Arial" w:cs="Arial"/>
        </w:rPr>
        <w:t xml:space="preserve">Procenat pokrivenosti uvoza izvozom u 2021. godini u FBiH iznosi 63,3%, a u BPK 175,6% što znači da je ostvaren suficit trgovinske razmjene.  </w:t>
      </w:r>
    </w:p>
    <w:p w:rsidR="00AB5767" w:rsidRPr="00314FA4" w:rsidRDefault="00885611" w:rsidP="00885611">
      <w:pPr>
        <w:spacing w:after="89"/>
        <w:rPr>
          <w:rFonts w:ascii="Arial" w:eastAsia="Arial" w:hAnsi="Arial" w:cs="Arial"/>
        </w:rPr>
      </w:pPr>
      <w:r w:rsidRPr="00314FA4">
        <w:rPr>
          <w:rFonts w:ascii="Arial" w:eastAsia="Arial" w:hAnsi="Arial" w:cs="Arial"/>
        </w:rPr>
        <w:t xml:space="preserve"> </w:t>
      </w:r>
    </w:p>
    <w:p w:rsidR="00885611" w:rsidRPr="00314FA4" w:rsidRDefault="00885611" w:rsidP="00885611">
      <w:pPr>
        <w:spacing w:after="2"/>
        <w:ind w:left="1413" w:right="600" w:hanging="10"/>
        <w:rPr>
          <w:rFonts w:ascii="Arial" w:eastAsia="Arial" w:hAnsi="Arial" w:cs="Arial"/>
        </w:rPr>
      </w:pPr>
      <w:r w:rsidRPr="00314FA4">
        <w:rPr>
          <w:rFonts w:ascii="Arial" w:eastAsia="Arial" w:hAnsi="Arial" w:cs="Arial"/>
          <w:sz w:val="18"/>
        </w:rPr>
        <w:t xml:space="preserve">Grafikon 55. </w:t>
      </w:r>
      <w:r w:rsidRPr="00314FA4">
        <w:rPr>
          <w:rFonts w:ascii="Arial" w:eastAsia="Arial" w:hAnsi="Arial" w:cs="Arial"/>
          <w:b/>
          <w:sz w:val="18"/>
        </w:rPr>
        <w:t>Izvoz, uvoz i trgovinski bilans roba u mil. KM po općinama BPK 2021</w:t>
      </w:r>
      <w:r w:rsidRPr="00314FA4">
        <w:rPr>
          <w:rFonts w:ascii="Arial" w:eastAsia="Arial" w:hAnsi="Arial" w:cs="Arial"/>
          <w:i/>
          <w:sz w:val="10"/>
        </w:rPr>
        <w:t xml:space="preserve"> </w:t>
      </w:r>
    </w:p>
    <w:p w:rsidR="00885611" w:rsidRPr="00314FA4" w:rsidRDefault="00885611" w:rsidP="00885611">
      <w:pPr>
        <w:spacing w:after="27"/>
        <w:ind w:left="1552"/>
        <w:rPr>
          <w:rFonts w:ascii="Arial" w:eastAsia="Arial" w:hAnsi="Arial" w:cs="Arial"/>
        </w:rPr>
      </w:pPr>
      <w:r w:rsidRPr="00314FA4">
        <w:rPr>
          <w:rFonts w:ascii="Arial" w:eastAsia="Arial" w:hAnsi="Arial" w:cs="Arial"/>
          <w:noProof/>
        </w:rPr>
        <w:drawing>
          <wp:inline distT="0" distB="0" distL="0" distR="0" wp14:anchorId="50182B40" wp14:editId="4A402166">
            <wp:extent cx="4054475" cy="276161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38443" name="Picture 38443"/>
                    <pic:cNvPicPr/>
                  </pic:nvPicPr>
                  <pic:blipFill>
                    <a:blip r:embed="rId22"/>
                    <a:stretch>
                      <a:fillRect/>
                    </a:stretch>
                  </pic:blipFill>
                  <pic:spPr>
                    <a:xfrm>
                      <a:off x="0" y="0"/>
                      <a:ext cx="4054475" cy="2761615"/>
                    </a:xfrm>
                    <a:prstGeom prst="rect">
                      <a:avLst/>
                    </a:prstGeom>
                  </pic:spPr>
                </pic:pic>
              </a:graphicData>
            </a:graphic>
          </wp:inline>
        </w:drawing>
      </w:r>
    </w:p>
    <w:p w:rsidR="00885611" w:rsidRPr="00314FA4" w:rsidRDefault="00885611" w:rsidP="00885611">
      <w:pPr>
        <w:spacing w:after="5" w:line="266" w:lineRule="auto"/>
        <w:ind w:left="1853" w:right="1592" w:hanging="10"/>
        <w:rPr>
          <w:rFonts w:ascii="Arial" w:eastAsia="Arial" w:hAnsi="Arial" w:cs="Arial"/>
        </w:rPr>
      </w:pPr>
      <w:r w:rsidRPr="00314FA4">
        <w:rPr>
          <w:rFonts w:ascii="Arial" w:eastAsia="Arial" w:hAnsi="Arial" w:cs="Arial"/>
          <w:sz w:val="16"/>
        </w:rPr>
        <w:t xml:space="preserve">Izvor podataka: (Uprava za indirektno oporezivanje, 2021) </w:t>
      </w:r>
    </w:p>
    <w:p w:rsidR="00885611" w:rsidRPr="00314FA4" w:rsidRDefault="00885611" w:rsidP="00885611">
      <w:pPr>
        <w:spacing w:after="65" w:line="266" w:lineRule="auto"/>
        <w:ind w:left="1853" w:right="1592" w:hanging="10"/>
        <w:rPr>
          <w:rFonts w:ascii="Arial" w:eastAsia="Arial" w:hAnsi="Arial" w:cs="Arial"/>
        </w:rPr>
      </w:pPr>
      <w:r w:rsidRPr="00314FA4">
        <w:rPr>
          <w:rFonts w:ascii="Arial" w:eastAsia="Arial" w:hAnsi="Arial" w:cs="Arial"/>
          <w:sz w:val="16"/>
        </w:rPr>
        <w:t xml:space="preserve">Obrada: Federalni zavod za programiranje razvoja </w:t>
      </w:r>
    </w:p>
    <w:p w:rsidR="00885611" w:rsidRPr="00314FA4" w:rsidRDefault="00885611" w:rsidP="00885611">
      <w:pPr>
        <w:spacing w:after="0" w:line="275" w:lineRule="auto"/>
        <w:ind w:right="8307"/>
        <w:rPr>
          <w:rFonts w:ascii="Arial" w:eastAsia="Arial" w:hAnsi="Arial" w:cs="Arial"/>
        </w:rPr>
      </w:pPr>
      <w:r w:rsidRPr="00314FA4">
        <w:rPr>
          <w:rFonts w:ascii="Arial" w:eastAsia="Arial" w:hAnsi="Arial" w:cs="Arial"/>
        </w:rPr>
        <w:t xml:space="preserve">  </w:t>
      </w:r>
    </w:p>
    <w:p w:rsidR="00885611" w:rsidRPr="00314FA4" w:rsidRDefault="00885611" w:rsidP="00657B10">
      <w:pPr>
        <w:spacing w:after="16"/>
        <w:rPr>
          <w:rFonts w:ascii="Arial" w:eastAsia="Arial" w:hAnsi="Arial" w:cs="Arial"/>
        </w:rPr>
      </w:pPr>
      <w:r w:rsidRPr="00314FA4">
        <w:rPr>
          <w:rFonts w:ascii="Arial" w:eastAsia="Arial" w:hAnsi="Arial" w:cs="Arial"/>
        </w:rPr>
        <w:t xml:space="preserve">  </w:t>
      </w:r>
    </w:p>
    <w:tbl>
      <w:tblPr>
        <w:tblStyle w:val="TableGrid"/>
        <w:tblW w:w="9989" w:type="dxa"/>
        <w:tblInd w:w="12" w:type="dxa"/>
        <w:tblCellMar>
          <w:top w:w="9" w:type="dxa"/>
          <w:left w:w="106" w:type="dxa"/>
          <w:right w:w="63" w:type="dxa"/>
        </w:tblCellMar>
        <w:tblLook w:val="04A0" w:firstRow="1" w:lastRow="0" w:firstColumn="1" w:lastColumn="0" w:noHBand="0" w:noVBand="1"/>
      </w:tblPr>
      <w:tblGrid>
        <w:gridCol w:w="4383"/>
        <w:gridCol w:w="1135"/>
        <w:gridCol w:w="1133"/>
        <w:gridCol w:w="927"/>
        <w:gridCol w:w="967"/>
        <w:gridCol w:w="734"/>
        <w:gridCol w:w="710"/>
      </w:tblGrid>
      <w:tr w:rsidR="00D74819" w:rsidRPr="00314FA4" w:rsidTr="00885611">
        <w:trPr>
          <w:trHeight w:val="645"/>
        </w:trPr>
        <w:tc>
          <w:tcPr>
            <w:tcW w:w="9989" w:type="dxa"/>
            <w:gridSpan w:val="7"/>
            <w:tcBorders>
              <w:top w:val="single" w:sz="8" w:space="0" w:color="4F81BD"/>
              <w:left w:val="single" w:sz="8" w:space="0" w:color="4F81BD"/>
              <w:bottom w:val="single" w:sz="12" w:space="0" w:color="95B3D7"/>
              <w:right w:val="single" w:sz="12" w:space="0" w:color="4F81BD"/>
            </w:tcBorders>
            <w:vAlign w:val="center"/>
          </w:tcPr>
          <w:p w:rsidR="00885611" w:rsidRPr="00314FA4" w:rsidRDefault="00885611" w:rsidP="00885611">
            <w:pPr>
              <w:ind w:right="43"/>
              <w:jc w:val="center"/>
              <w:rPr>
                <w:rFonts w:ascii="Arial" w:eastAsia="Arial" w:hAnsi="Arial" w:cs="Arial"/>
              </w:rPr>
            </w:pPr>
            <w:r w:rsidRPr="00314FA4">
              <w:rPr>
                <w:rFonts w:ascii="Arial" w:eastAsia="Arial" w:hAnsi="Arial" w:cs="Arial"/>
                <w:b/>
                <w:sz w:val="18"/>
              </w:rPr>
              <w:t xml:space="preserve"> Tabela 25.</w:t>
            </w:r>
            <w:r w:rsidRPr="00314FA4">
              <w:rPr>
                <w:rFonts w:ascii="Arial" w:eastAsia="Arial" w:hAnsi="Arial" w:cs="Arial"/>
                <w:b/>
                <w:sz w:val="20"/>
              </w:rPr>
              <w:t xml:space="preserve"> Osnovni indikatori razvoja FBiH i Bosansko-podrinjskog kantona </w:t>
            </w:r>
          </w:p>
        </w:tc>
      </w:tr>
      <w:tr w:rsidR="00D74819" w:rsidRPr="00314FA4" w:rsidTr="00885611">
        <w:trPr>
          <w:trHeight w:val="728"/>
        </w:trPr>
        <w:tc>
          <w:tcPr>
            <w:tcW w:w="4383" w:type="dxa"/>
            <w:vMerge w:val="restart"/>
            <w:tcBorders>
              <w:top w:val="single" w:sz="12" w:space="0" w:color="95B3D7"/>
              <w:left w:val="single" w:sz="8" w:space="0" w:color="4F81BD"/>
              <w:bottom w:val="single" w:sz="2" w:space="0" w:color="95B3D7"/>
              <w:right w:val="single" w:sz="2" w:space="0" w:color="95B3D7"/>
            </w:tcBorders>
            <w:shd w:val="clear" w:color="auto" w:fill="DBE5F1"/>
            <w:vAlign w:val="center"/>
          </w:tcPr>
          <w:p w:rsidR="00885611" w:rsidRPr="00314FA4" w:rsidRDefault="00885611" w:rsidP="00885611">
            <w:pPr>
              <w:ind w:right="44"/>
              <w:jc w:val="center"/>
              <w:rPr>
                <w:rFonts w:ascii="Arial" w:eastAsia="Arial" w:hAnsi="Arial" w:cs="Arial"/>
              </w:rPr>
            </w:pPr>
            <w:r w:rsidRPr="00314FA4">
              <w:rPr>
                <w:rFonts w:ascii="Arial" w:eastAsia="Arial" w:hAnsi="Arial" w:cs="Arial"/>
                <w:b/>
                <w:sz w:val="18"/>
              </w:rPr>
              <w:t xml:space="preserve">Elementi </w:t>
            </w:r>
          </w:p>
        </w:tc>
        <w:tc>
          <w:tcPr>
            <w:tcW w:w="2268" w:type="dxa"/>
            <w:gridSpan w:val="2"/>
            <w:tcBorders>
              <w:top w:val="single" w:sz="1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1"/>
              <w:jc w:val="center"/>
              <w:rPr>
                <w:rFonts w:ascii="Arial" w:eastAsia="Arial" w:hAnsi="Arial" w:cs="Arial"/>
              </w:rPr>
            </w:pPr>
            <w:r w:rsidRPr="00314FA4">
              <w:rPr>
                <w:rFonts w:ascii="Arial" w:eastAsia="Arial" w:hAnsi="Arial" w:cs="Arial"/>
                <w:b/>
                <w:sz w:val="18"/>
              </w:rPr>
              <w:t xml:space="preserve">Federacija BiH </w:t>
            </w:r>
          </w:p>
        </w:tc>
        <w:tc>
          <w:tcPr>
            <w:tcW w:w="1894" w:type="dxa"/>
            <w:gridSpan w:val="2"/>
            <w:tcBorders>
              <w:top w:val="single" w:sz="1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jc w:val="center"/>
              <w:rPr>
                <w:rFonts w:ascii="Arial" w:eastAsia="Arial" w:hAnsi="Arial" w:cs="Arial"/>
              </w:rPr>
            </w:pPr>
            <w:r w:rsidRPr="00314FA4">
              <w:rPr>
                <w:rFonts w:ascii="Arial" w:eastAsia="Arial" w:hAnsi="Arial" w:cs="Arial"/>
                <w:b/>
                <w:sz w:val="18"/>
              </w:rPr>
              <w:t xml:space="preserve">Bosanskopodrinjski kanton </w:t>
            </w:r>
          </w:p>
        </w:tc>
        <w:tc>
          <w:tcPr>
            <w:tcW w:w="1444" w:type="dxa"/>
            <w:gridSpan w:val="2"/>
            <w:tcBorders>
              <w:top w:val="single" w:sz="12" w:space="0" w:color="95B3D7"/>
              <w:left w:val="single" w:sz="2" w:space="0" w:color="95B3D7"/>
              <w:bottom w:val="single" w:sz="2" w:space="0" w:color="95B3D7"/>
              <w:right w:val="single" w:sz="12" w:space="0" w:color="4F81BD"/>
            </w:tcBorders>
            <w:shd w:val="clear" w:color="auto" w:fill="DBE5F1"/>
          </w:tcPr>
          <w:p w:rsidR="00885611" w:rsidRPr="00314FA4" w:rsidRDefault="00885611" w:rsidP="00885611">
            <w:pPr>
              <w:spacing w:line="276" w:lineRule="auto"/>
              <w:jc w:val="center"/>
              <w:rPr>
                <w:rFonts w:ascii="Arial" w:eastAsia="Arial" w:hAnsi="Arial" w:cs="Arial"/>
              </w:rPr>
            </w:pPr>
            <w:r w:rsidRPr="00314FA4">
              <w:rPr>
                <w:rFonts w:ascii="Arial" w:eastAsia="Arial" w:hAnsi="Arial" w:cs="Arial"/>
                <w:b/>
                <w:sz w:val="18"/>
              </w:rPr>
              <w:t xml:space="preserve">Učešće kantona u </w:t>
            </w:r>
          </w:p>
          <w:p w:rsidR="00885611" w:rsidRPr="00314FA4" w:rsidRDefault="00885611" w:rsidP="00885611">
            <w:pPr>
              <w:ind w:right="44"/>
              <w:jc w:val="center"/>
              <w:rPr>
                <w:rFonts w:ascii="Arial" w:eastAsia="Arial" w:hAnsi="Arial" w:cs="Arial"/>
              </w:rPr>
            </w:pPr>
            <w:r w:rsidRPr="00314FA4">
              <w:rPr>
                <w:rFonts w:ascii="Arial" w:eastAsia="Arial" w:hAnsi="Arial" w:cs="Arial"/>
                <w:b/>
                <w:sz w:val="18"/>
              </w:rPr>
              <w:t xml:space="preserve">FBiH </w:t>
            </w:r>
          </w:p>
        </w:tc>
      </w:tr>
      <w:tr w:rsidR="00D74819" w:rsidRPr="00314FA4" w:rsidTr="00885611">
        <w:trPr>
          <w:trHeight w:val="428"/>
        </w:trPr>
        <w:tc>
          <w:tcPr>
            <w:tcW w:w="0" w:type="auto"/>
            <w:vMerge/>
            <w:tcBorders>
              <w:top w:val="nil"/>
              <w:left w:val="single" w:sz="8" w:space="0" w:color="4F81BD"/>
              <w:bottom w:val="single" w:sz="2" w:space="0" w:color="95B3D7"/>
              <w:right w:val="single" w:sz="2" w:space="0" w:color="95B3D7"/>
            </w:tcBorders>
          </w:tcPr>
          <w:p w:rsidR="00885611" w:rsidRPr="00314FA4" w:rsidRDefault="00885611" w:rsidP="00885611">
            <w:pPr>
              <w:rPr>
                <w:rFonts w:ascii="Arial" w:eastAsia="Arial" w:hAnsi="Arial" w:cs="Arial"/>
              </w:rPr>
            </w:pPr>
          </w:p>
        </w:tc>
        <w:tc>
          <w:tcPr>
            <w:tcW w:w="1135" w:type="dxa"/>
            <w:tcBorders>
              <w:top w:val="single" w:sz="2" w:space="0" w:color="95B3D7"/>
              <w:left w:val="single" w:sz="2" w:space="0" w:color="95B3D7"/>
              <w:bottom w:val="single" w:sz="2" w:space="0" w:color="95B3D7"/>
              <w:right w:val="single" w:sz="2" w:space="0" w:color="95B3D7"/>
            </w:tcBorders>
          </w:tcPr>
          <w:p w:rsidR="00885611" w:rsidRPr="00314FA4" w:rsidRDefault="00885611" w:rsidP="00885611">
            <w:pPr>
              <w:ind w:right="49"/>
              <w:jc w:val="center"/>
              <w:rPr>
                <w:rFonts w:ascii="Arial" w:eastAsia="Arial" w:hAnsi="Arial" w:cs="Arial"/>
              </w:rPr>
            </w:pPr>
            <w:r w:rsidRPr="00314FA4">
              <w:rPr>
                <w:rFonts w:ascii="Arial" w:eastAsia="Arial" w:hAnsi="Arial" w:cs="Arial"/>
                <w:b/>
                <w:sz w:val="20"/>
              </w:rPr>
              <w:t xml:space="preserve">2020 </w:t>
            </w:r>
          </w:p>
        </w:tc>
        <w:tc>
          <w:tcPr>
            <w:tcW w:w="1133" w:type="dxa"/>
            <w:tcBorders>
              <w:top w:val="single" w:sz="2" w:space="0" w:color="95B3D7"/>
              <w:left w:val="single" w:sz="2" w:space="0" w:color="95B3D7"/>
              <w:bottom w:val="single" w:sz="2" w:space="0" w:color="95B3D7"/>
              <w:right w:val="single" w:sz="2" w:space="0" w:color="95B3D7"/>
            </w:tcBorders>
          </w:tcPr>
          <w:p w:rsidR="00885611" w:rsidRPr="00314FA4" w:rsidRDefault="00885611" w:rsidP="00885611">
            <w:pPr>
              <w:ind w:right="51"/>
              <w:jc w:val="center"/>
              <w:rPr>
                <w:rFonts w:ascii="Arial" w:eastAsia="Arial" w:hAnsi="Arial" w:cs="Arial"/>
              </w:rPr>
            </w:pPr>
            <w:r w:rsidRPr="00314FA4">
              <w:rPr>
                <w:rFonts w:ascii="Arial" w:eastAsia="Arial" w:hAnsi="Arial" w:cs="Arial"/>
                <w:b/>
                <w:sz w:val="20"/>
              </w:rPr>
              <w:t xml:space="preserve">2021 </w:t>
            </w:r>
          </w:p>
        </w:tc>
        <w:tc>
          <w:tcPr>
            <w:tcW w:w="927" w:type="dxa"/>
            <w:tcBorders>
              <w:top w:val="single" w:sz="2" w:space="0" w:color="95B3D7"/>
              <w:left w:val="single" w:sz="2" w:space="0" w:color="95B3D7"/>
              <w:bottom w:val="single" w:sz="2" w:space="0" w:color="95B3D7"/>
              <w:right w:val="single" w:sz="2" w:space="0" w:color="95B3D7"/>
            </w:tcBorders>
          </w:tcPr>
          <w:p w:rsidR="00885611" w:rsidRPr="00314FA4" w:rsidRDefault="00885611" w:rsidP="00885611">
            <w:pPr>
              <w:ind w:right="47"/>
              <w:jc w:val="center"/>
              <w:rPr>
                <w:rFonts w:ascii="Arial" w:eastAsia="Arial" w:hAnsi="Arial" w:cs="Arial"/>
              </w:rPr>
            </w:pPr>
            <w:r w:rsidRPr="00314FA4">
              <w:rPr>
                <w:rFonts w:ascii="Arial" w:eastAsia="Arial" w:hAnsi="Arial" w:cs="Arial"/>
                <w:b/>
                <w:sz w:val="20"/>
              </w:rPr>
              <w:t xml:space="preserve">2020 </w:t>
            </w:r>
          </w:p>
        </w:tc>
        <w:tc>
          <w:tcPr>
            <w:tcW w:w="967" w:type="dxa"/>
            <w:tcBorders>
              <w:top w:val="single" w:sz="2" w:space="0" w:color="95B3D7"/>
              <w:left w:val="single" w:sz="2" w:space="0" w:color="95B3D7"/>
              <w:bottom w:val="single" w:sz="2" w:space="0" w:color="95B3D7"/>
              <w:right w:val="single" w:sz="2" w:space="0" w:color="95B3D7"/>
            </w:tcBorders>
          </w:tcPr>
          <w:p w:rsidR="00885611" w:rsidRPr="00314FA4" w:rsidRDefault="00885611" w:rsidP="00885611">
            <w:pPr>
              <w:ind w:right="45"/>
              <w:jc w:val="center"/>
              <w:rPr>
                <w:rFonts w:ascii="Arial" w:eastAsia="Arial" w:hAnsi="Arial" w:cs="Arial"/>
              </w:rPr>
            </w:pPr>
            <w:r w:rsidRPr="00314FA4">
              <w:rPr>
                <w:rFonts w:ascii="Arial" w:eastAsia="Arial" w:hAnsi="Arial" w:cs="Arial"/>
                <w:b/>
                <w:sz w:val="20"/>
              </w:rPr>
              <w:t xml:space="preserve">2021 </w:t>
            </w:r>
          </w:p>
        </w:tc>
        <w:tc>
          <w:tcPr>
            <w:tcW w:w="734" w:type="dxa"/>
            <w:tcBorders>
              <w:top w:val="single" w:sz="2" w:space="0" w:color="95B3D7"/>
              <w:left w:val="single" w:sz="2" w:space="0" w:color="95B3D7"/>
              <w:bottom w:val="single" w:sz="2" w:space="0" w:color="95B3D7"/>
              <w:right w:val="single" w:sz="2" w:space="0" w:color="95B3D7"/>
            </w:tcBorders>
          </w:tcPr>
          <w:p w:rsidR="00885611" w:rsidRPr="00314FA4" w:rsidRDefault="00885611" w:rsidP="00885611">
            <w:pPr>
              <w:ind w:left="38"/>
              <w:rPr>
                <w:rFonts w:ascii="Arial" w:eastAsia="Arial" w:hAnsi="Arial" w:cs="Arial"/>
              </w:rPr>
            </w:pPr>
            <w:r w:rsidRPr="00314FA4">
              <w:rPr>
                <w:rFonts w:ascii="Arial" w:eastAsia="Arial" w:hAnsi="Arial" w:cs="Arial"/>
                <w:b/>
                <w:sz w:val="20"/>
              </w:rPr>
              <w:t xml:space="preserve">2020 </w:t>
            </w:r>
          </w:p>
        </w:tc>
        <w:tc>
          <w:tcPr>
            <w:tcW w:w="710" w:type="dxa"/>
            <w:tcBorders>
              <w:top w:val="single" w:sz="2" w:space="0" w:color="95B3D7"/>
              <w:left w:val="single" w:sz="2" w:space="0" w:color="95B3D7"/>
              <w:bottom w:val="single" w:sz="2" w:space="0" w:color="95B3D7"/>
              <w:right w:val="single" w:sz="12" w:space="0" w:color="4F81BD"/>
            </w:tcBorders>
          </w:tcPr>
          <w:p w:rsidR="00885611" w:rsidRPr="00314FA4" w:rsidRDefault="00885611" w:rsidP="00885611">
            <w:pPr>
              <w:ind w:left="27"/>
              <w:rPr>
                <w:rFonts w:ascii="Arial" w:eastAsia="Arial" w:hAnsi="Arial" w:cs="Arial"/>
              </w:rPr>
            </w:pPr>
            <w:r w:rsidRPr="00314FA4">
              <w:rPr>
                <w:rFonts w:ascii="Arial" w:eastAsia="Arial" w:hAnsi="Arial" w:cs="Arial"/>
                <w:b/>
                <w:sz w:val="20"/>
              </w:rPr>
              <w:t xml:space="preserve">2021 </w:t>
            </w:r>
          </w:p>
        </w:tc>
      </w:tr>
      <w:tr w:rsidR="00D74819" w:rsidRPr="00314FA4" w:rsidTr="00885611">
        <w:trPr>
          <w:trHeight w:val="400"/>
        </w:trPr>
        <w:tc>
          <w:tcPr>
            <w:tcW w:w="4383" w:type="dxa"/>
            <w:tcBorders>
              <w:top w:val="single" w:sz="2" w:space="0" w:color="95B3D7"/>
              <w:left w:val="single" w:sz="8" w:space="0" w:color="4F81BD"/>
              <w:bottom w:val="single" w:sz="2" w:space="0" w:color="95B3D7"/>
              <w:right w:val="single" w:sz="2" w:space="0" w:color="95B3D7"/>
            </w:tcBorders>
            <w:shd w:val="clear" w:color="auto" w:fill="DBE5F1"/>
            <w:vAlign w:val="center"/>
          </w:tcPr>
          <w:p w:rsidR="00885611" w:rsidRPr="00314FA4" w:rsidRDefault="00885611" w:rsidP="00885611">
            <w:pPr>
              <w:rPr>
                <w:rFonts w:ascii="Arial" w:eastAsia="Arial" w:hAnsi="Arial" w:cs="Arial"/>
              </w:rPr>
            </w:pPr>
            <w:r w:rsidRPr="00314FA4">
              <w:rPr>
                <w:rFonts w:ascii="Arial" w:eastAsia="Arial" w:hAnsi="Arial" w:cs="Arial"/>
                <w:b/>
                <w:sz w:val="18"/>
              </w:rPr>
              <w:t xml:space="preserve">Površina u km2 </w:t>
            </w:r>
          </w:p>
        </w:tc>
        <w:tc>
          <w:tcPr>
            <w:tcW w:w="1135"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26.112 </w:t>
            </w:r>
          </w:p>
        </w:tc>
        <w:tc>
          <w:tcPr>
            <w:tcW w:w="1133"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26.111 </w:t>
            </w:r>
          </w:p>
        </w:tc>
        <w:tc>
          <w:tcPr>
            <w:tcW w:w="927"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5"/>
              <w:jc w:val="right"/>
              <w:rPr>
                <w:rFonts w:ascii="Arial" w:eastAsia="Arial" w:hAnsi="Arial" w:cs="Arial"/>
              </w:rPr>
            </w:pPr>
            <w:r w:rsidRPr="00314FA4">
              <w:rPr>
                <w:rFonts w:ascii="Arial" w:eastAsia="Arial" w:hAnsi="Arial" w:cs="Arial"/>
                <w:sz w:val="16"/>
              </w:rPr>
              <w:t xml:space="preserve">505 </w:t>
            </w:r>
          </w:p>
        </w:tc>
        <w:tc>
          <w:tcPr>
            <w:tcW w:w="967"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4"/>
              <w:jc w:val="right"/>
              <w:rPr>
                <w:rFonts w:ascii="Arial" w:eastAsia="Arial" w:hAnsi="Arial" w:cs="Arial"/>
              </w:rPr>
            </w:pPr>
            <w:r w:rsidRPr="00314FA4">
              <w:rPr>
                <w:rFonts w:ascii="Arial" w:eastAsia="Arial" w:hAnsi="Arial" w:cs="Arial"/>
                <w:sz w:val="16"/>
              </w:rPr>
              <w:t xml:space="preserve">505 </w:t>
            </w:r>
          </w:p>
        </w:tc>
        <w:tc>
          <w:tcPr>
            <w:tcW w:w="734"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4"/>
              <w:jc w:val="center"/>
              <w:rPr>
                <w:rFonts w:ascii="Arial" w:eastAsia="Arial" w:hAnsi="Arial" w:cs="Arial"/>
              </w:rPr>
            </w:pPr>
            <w:r w:rsidRPr="00314FA4">
              <w:rPr>
                <w:rFonts w:ascii="Arial" w:eastAsia="Arial" w:hAnsi="Arial" w:cs="Arial"/>
                <w:sz w:val="16"/>
              </w:rPr>
              <w:t xml:space="preserve">1,9 </w:t>
            </w:r>
          </w:p>
        </w:tc>
        <w:tc>
          <w:tcPr>
            <w:tcW w:w="710" w:type="dxa"/>
            <w:tcBorders>
              <w:top w:val="single" w:sz="2" w:space="0" w:color="95B3D7"/>
              <w:left w:val="single" w:sz="2" w:space="0" w:color="95B3D7"/>
              <w:bottom w:val="single" w:sz="2" w:space="0" w:color="95B3D7"/>
              <w:right w:val="single" w:sz="12" w:space="0" w:color="4F81BD"/>
            </w:tcBorders>
            <w:shd w:val="clear" w:color="auto" w:fill="DBE5F1"/>
            <w:vAlign w:val="center"/>
          </w:tcPr>
          <w:p w:rsidR="00885611" w:rsidRPr="00314FA4" w:rsidRDefault="00885611" w:rsidP="00885611">
            <w:pPr>
              <w:ind w:right="42"/>
              <w:jc w:val="center"/>
              <w:rPr>
                <w:rFonts w:ascii="Arial" w:eastAsia="Arial" w:hAnsi="Arial" w:cs="Arial"/>
              </w:rPr>
            </w:pPr>
            <w:r w:rsidRPr="00314FA4">
              <w:rPr>
                <w:rFonts w:ascii="Arial" w:eastAsia="Arial" w:hAnsi="Arial" w:cs="Arial"/>
                <w:sz w:val="16"/>
              </w:rPr>
              <w:t xml:space="preserve">1,9 </w:t>
            </w:r>
          </w:p>
        </w:tc>
      </w:tr>
      <w:tr w:rsidR="00D74819" w:rsidRPr="00314FA4" w:rsidTr="00885611">
        <w:trPr>
          <w:trHeight w:val="404"/>
        </w:trPr>
        <w:tc>
          <w:tcPr>
            <w:tcW w:w="4383" w:type="dxa"/>
            <w:tcBorders>
              <w:top w:val="single" w:sz="2" w:space="0" w:color="95B3D7"/>
              <w:left w:val="single" w:sz="8" w:space="0" w:color="4F81BD"/>
              <w:bottom w:val="single" w:sz="2" w:space="0" w:color="95B3D7"/>
              <w:right w:val="single" w:sz="2" w:space="0" w:color="95B3D7"/>
            </w:tcBorders>
          </w:tcPr>
          <w:p w:rsidR="00885611" w:rsidRPr="00314FA4" w:rsidRDefault="00885611" w:rsidP="00885611">
            <w:pPr>
              <w:rPr>
                <w:rFonts w:ascii="Arial" w:eastAsia="Arial" w:hAnsi="Arial" w:cs="Arial"/>
              </w:rPr>
            </w:pPr>
            <w:r w:rsidRPr="00314FA4">
              <w:rPr>
                <w:rFonts w:ascii="Arial" w:eastAsia="Arial" w:hAnsi="Arial" w:cs="Arial"/>
                <w:b/>
                <w:sz w:val="18"/>
              </w:rPr>
              <w:t xml:space="preserve">Stanovništvo u hilj. (proc. prema popisu) </w:t>
            </w:r>
          </w:p>
        </w:tc>
        <w:tc>
          <w:tcPr>
            <w:tcW w:w="1135"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2.185 </w:t>
            </w:r>
          </w:p>
        </w:tc>
        <w:tc>
          <w:tcPr>
            <w:tcW w:w="1133"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2.169 </w:t>
            </w:r>
          </w:p>
        </w:tc>
        <w:tc>
          <w:tcPr>
            <w:tcW w:w="927"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5"/>
              <w:jc w:val="right"/>
              <w:rPr>
                <w:rFonts w:ascii="Arial" w:eastAsia="Arial" w:hAnsi="Arial" w:cs="Arial"/>
              </w:rPr>
            </w:pPr>
            <w:r w:rsidRPr="00314FA4">
              <w:rPr>
                <w:rFonts w:ascii="Arial" w:eastAsia="Arial" w:hAnsi="Arial" w:cs="Arial"/>
                <w:sz w:val="16"/>
              </w:rPr>
              <w:t xml:space="preserve">23 </w:t>
            </w:r>
          </w:p>
        </w:tc>
        <w:tc>
          <w:tcPr>
            <w:tcW w:w="967"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4"/>
              <w:jc w:val="right"/>
              <w:rPr>
                <w:rFonts w:ascii="Arial" w:eastAsia="Arial" w:hAnsi="Arial" w:cs="Arial"/>
              </w:rPr>
            </w:pPr>
            <w:r w:rsidRPr="00314FA4">
              <w:rPr>
                <w:rFonts w:ascii="Arial" w:eastAsia="Arial" w:hAnsi="Arial" w:cs="Arial"/>
                <w:sz w:val="16"/>
              </w:rPr>
              <w:t xml:space="preserve">22 </w:t>
            </w:r>
          </w:p>
        </w:tc>
        <w:tc>
          <w:tcPr>
            <w:tcW w:w="734"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4"/>
              <w:jc w:val="center"/>
              <w:rPr>
                <w:rFonts w:ascii="Arial" w:eastAsia="Arial" w:hAnsi="Arial" w:cs="Arial"/>
              </w:rPr>
            </w:pPr>
            <w:r w:rsidRPr="00314FA4">
              <w:rPr>
                <w:rFonts w:ascii="Arial" w:eastAsia="Arial" w:hAnsi="Arial" w:cs="Arial"/>
                <w:sz w:val="16"/>
              </w:rPr>
              <w:t xml:space="preserve">1,1 </w:t>
            </w:r>
          </w:p>
        </w:tc>
        <w:tc>
          <w:tcPr>
            <w:tcW w:w="710" w:type="dxa"/>
            <w:tcBorders>
              <w:top w:val="single" w:sz="2" w:space="0" w:color="95B3D7"/>
              <w:left w:val="single" w:sz="2" w:space="0" w:color="95B3D7"/>
              <w:bottom w:val="single" w:sz="2" w:space="0" w:color="95B3D7"/>
              <w:right w:val="single" w:sz="12" w:space="0" w:color="4F81BD"/>
            </w:tcBorders>
            <w:vAlign w:val="center"/>
          </w:tcPr>
          <w:p w:rsidR="00885611" w:rsidRPr="00314FA4" w:rsidRDefault="00885611" w:rsidP="00885611">
            <w:pPr>
              <w:ind w:right="42"/>
              <w:jc w:val="center"/>
              <w:rPr>
                <w:rFonts w:ascii="Arial" w:eastAsia="Arial" w:hAnsi="Arial" w:cs="Arial"/>
              </w:rPr>
            </w:pPr>
            <w:r w:rsidRPr="00314FA4">
              <w:rPr>
                <w:rFonts w:ascii="Arial" w:eastAsia="Arial" w:hAnsi="Arial" w:cs="Arial"/>
                <w:sz w:val="16"/>
              </w:rPr>
              <w:t xml:space="preserve">1,0 </w:t>
            </w:r>
          </w:p>
        </w:tc>
      </w:tr>
      <w:tr w:rsidR="00D74819" w:rsidRPr="00314FA4" w:rsidTr="00885611">
        <w:trPr>
          <w:trHeight w:val="400"/>
        </w:trPr>
        <w:tc>
          <w:tcPr>
            <w:tcW w:w="4383" w:type="dxa"/>
            <w:tcBorders>
              <w:top w:val="single" w:sz="2" w:space="0" w:color="95B3D7"/>
              <w:left w:val="single" w:sz="8" w:space="0" w:color="4F81BD"/>
              <w:bottom w:val="single" w:sz="2" w:space="0" w:color="95B3D7"/>
              <w:right w:val="single" w:sz="2" w:space="0" w:color="95B3D7"/>
            </w:tcBorders>
            <w:shd w:val="clear" w:color="auto" w:fill="DBE5F1"/>
            <w:vAlign w:val="center"/>
          </w:tcPr>
          <w:p w:rsidR="00885611" w:rsidRPr="00314FA4" w:rsidRDefault="00885611" w:rsidP="00885611">
            <w:pPr>
              <w:rPr>
                <w:rFonts w:ascii="Arial" w:eastAsia="Arial" w:hAnsi="Arial" w:cs="Arial"/>
              </w:rPr>
            </w:pPr>
            <w:r w:rsidRPr="00314FA4">
              <w:rPr>
                <w:rFonts w:ascii="Arial" w:eastAsia="Arial" w:hAnsi="Arial" w:cs="Arial"/>
                <w:b/>
                <w:sz w:val="18"/>
              </w:rPr>
              <w:t xml:space="preserve">Porezi na dohotke fizičkih lica prihodi u mil. KM </w:t>
            </w:r>
          </w:p>
        </w:tc>
        <w:tc>
          <w:tcPr>
            <w:tcW w:w="1135"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6"/>
              <w:jc w:val="right"/>
              <w:rPr>
                <w:rFonts w:ascii="Arial" w:eastAsia="Arial" w:hAnsi="Arial" w:cs="Arial"/>
              </w:rPr>
            </w:pPr>
            <w:r w:rsidRPr="00314FA4">
              <w:rPr>
                <w:rFonts w:ascii="Arial" w:eastAsia="Arial" w:hAnsi="Arial" w:cs="Arial"/>
                <w:sz w:val="16"/>
              </w:rPr>
              <w:t xml:space="preserve">452 </w:t>
            </w:r>
          </w:p>
        </w:tc>
        <w:tc>
          <w:tcPr>
            <w:tcW w:w="1133"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530 </w:t>
            </w:r>
          </w:p>
        </w:tc>
        <w:tc>
          <w:tcPr>
            <w:tcW w:w="927"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5"/>
              <w:jc w:val="right"/>
              <w:rPr>
                <w:rFonts w:ascii="Arial" w:eastAsia="Arial" w:hAnsi="Arial" w:cs="Arial"/>
              </w:rPr>
            </w:pPr>
            <w:r w:rsidRPr="00314FA4">
              <w:rPr>
                <w:rFonts w:ascii="Arial" w:eastAsia="Arial" w:hAnsi="Arial" w:cs="Arial"/>
                <w:sz w:val="16"/>
              </w:rPr>
              <w:t xml:space="preserve">4,8 </w:t>
            </w:r>
          </w:p>
        </w:tc>
        <w:tc>
          <w:tcPr>
            <w:tcW w:w="967"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4"/>
              <w:jc w:val="right"/>
              <w:rPr>
                <w:rFonts w:ascii="Arial" w:eastAsia="Arial" w:hAnsi="Arial" w:cs="Arial"/>
              </w:rPr>
            </w:pPr>
            <w:r w:rsidRPr="00314FA4">
              <w:rPr>
                <w:rFonts w:ascii="Arial" w:eastAsia="Arial" w:hAnsi="Arial" w:cs="Arial"/>
                <w:sz w:val="16"/>
              </w:rPr>
              <w:t xml:space="preserve">6 </w:t>
            </w:r>
          </w:p>
        </w:tc>
        <w:tc>
          <w:tcPr>
            <w:tcW w:w="734"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4"/>
              <w:jc w:val="center"/>
              <w:rPr>
                <w:rFonts w:ascii="Arial" w:eastAsia="Arial" w:hAnsi="Arial" w:cs="Arial"/>
              </w:rPr>
            </w:pPr>
            <w:r w:rsidRPr="00314FA4">
              <w:rPr>
                <w:rFonts w:ascii="Arial" w:eastAsia="Arial" w:hAnsi="Arial" w:cs="Arial"/>
                <w:sz w:val="16"/>
              </w:rPr>
              <w:t xml:space="preserve">1,1 </w:t>
            </w:r>
          </w:p>
        </w:tc>
        <w:tc>
          <w:tcPr>
            <w:tcW w:w="710" w:type="dxa"/>
            <w:tcBorders>
              <w:top w:val="single" w:sz="2" w:space="0" w:color="95B3D7"/>
              <w:left w:val="single" w:sz="2" w:space="0" w:color="95B3D7"/>
              <w:bottom w:val="single" w:sz="2" w:space="0" w:color="95B3D7"/>
              <w:right w:val="single" w:sz="12" w:space="0" w:color="4F81BD"/>
            </w:tcBorders>
            <w:shd w:val="clear" w:color="auto" w:fill="DBE5F1"/>
            <w:vAlign w:val="center"/>
          </w:tcPr>
          <w:p w:rsidR="00885611" w:rsidRPr="00314FA4" w:rsidRDefault="00885611" w:rsidP="00885611">
            <w:pPr>
              <w:ind w:right="42"/>
              <w:jc w:val="center"/>
              <w:rPr>
                <w:rFonts w:ascii="Arial" w:eastAsia="Arial" w:hAnsi="Arial" w:cs="Arial"/>
              </w:rPr>
            </w:pPr>
            <w:r w:rsidRPr="00314FA4">
              <w:rPr>
                <w:rFonts w:ascii="Arial" w:eastAsia="Arial" w:hAnsi="Arial" w:cs="Arial"/>
                <w:sz w:val="16"/>
              </w:rPr>
              <w:t xml:space="preserve">1,2 </w:t>
            </w:r>
          </w:p>
        </w:tc>
      </w:tr>
      <w:tr w:rsidR="00D74819" w:rsidRPr="00314FA4" w:rsidTr="00885611">
        <w:trPr>
          <w:trHeight w:val="404"/>
        </w:trPr>
        <w:tc>
          <w:tcPr>
            <w:tcW w:w="4383" w:type="dxa"/>
            <w:tcBorders>
              <w:top w:val="single" w:sz="2" w:space="0" w:color="95B3D7"/>
              <w:left w:val="single" w:sz="8" w:space="0" w:color="4F81BD"/>
              <w:bottom w:val="single" w:sz="2" w:space="0" w:color="95B3D7"/>
              <w:right w:val="single" w:sz="2" w:space="0" w:color="95B3D7"/>
            </w:tcBorders>
            <w:vAlign w:val="center"/>
          </w:tcPr>
          <w:p w:rsidR="00885611" w:rsidRPr="00314FA4" w:rsidRDefault="00885611" w:rsidP="00885611">
            <w:pPr>
              <w:rPr>
                <w:rFonts w:ascii="Arial" w:eastAsia="Arial" w:hAnsi="Arial" w:cs="Arial"/>
              </w:rPr>
            </w:pPr>
            <w:r w:rsidRPr="00314FA4">
              <w:rPr>
                <w:rFonts w:ascii="Arial" w:eastAsia="Arial" w:hAnsi="Arial" w:cs="Arial"/>
                <w:b/>
                <w:sz w:val="18"/>
              </w:rPr>
              <w:t xml:space="preserve">Porezi na dohotke fizičkih lica po stanov. u KM </w:t>
            </w:r>
          </w:p>
        </w:tc>
        <w:tc>
          <w:tcPr>
            <w:tcW w:w="1135"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6"/>
              <w:jc w:val="right"/>
              <w:rPr>
                <w:rFonts w:ascii="Arial" w:eastAsia="Arial" w:hAnsi="Arial" w:cs="Arial"/>
              </w:rPr>
            </w:pPr>
            <w:r w:rsidRPr="00314FA4">
              <w:rPr>
                <w:rFonts w:ascii="Arial" w:eastAsia="Arial" w:hAnsi="Arial" w:cs="Arial"/>
                <w:sz w:val="16"/>
              </w:rPr>
              <w:t xml:space="preserve">207 </w:t>
            </w:r>
          </w:p>
        </w:tc>
        <w:tc>
          <w:tcPr>
            <w:tcW w:w="1133"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245 </w:t>
            </w:r>
          </w:p>
        </w:tc>
        <w:tc>
          <w:tcPr>
            <w:tcW w:w="927"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5"/>
              <w:jc w:val="right"/>
              <w:rPr>
                <w:rFonts w:ascii="Arial" w:eastAsia="Arial" w:hAnsi="Arial" w:cs="Arial"/>
              </w:rPr>
            </w:pPr>
            <w:r w:rsidRPr="00314FA4">
              <w:rPr>
                <w:rFonts w:ascii="Arial" w:eastAsia="Arial" w:hAnsi="Arial" w:cs="Arial"/>
                <w:sz w:val="16"/>
              </w:rPr>
              <w:t xml:space="preserve">214 </w:t>
            </w:r>
          </w:p>
        </w:tc>
        <w:tc>
          <w:tcPr>
            <w:tcW w:w="967"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4"/>
              <w:jc w:val="right"/>
              <w:rPr>
                <w:rFonts w:ascii="Arial" w:eastAsia="Arial" w:hAnsi="Arial" w:cs="Arial"/>
              </w:rPr>
            </w:pPr>
            <w:r w:rsidRPr="00314FA4">
              <w:rPr>
                <w:rFonts w:ascii="Arial" w:eastAsia="Arial" w:hAnsi="Arial" w:cs="Arial"/>
                <w:sz w:val="16"/>
              </w:rPr>
              <w:t xml:space="preserve">283 </w:t>
            </w:r>
          </w:p>
        </w:tc>
        <w:tc>
          <w:tcPr>
            <w:tcW w:w="734"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4"/>
              <w:jc w:val="center"/>
              <w:rPr>
                <w:rFonts w:ascii="Arial" w:eastAsia="Arial" w:hAnsi="Arial" w:cs="Arial"/>
              </w:rPr>
            </w:pPr>
            <w:r w:rsidRPr="00314FA4">
              <w:rPr>
                <w:rFonts w:ascii="Arial" w:eastAsia="Arial" w:hAnsi="Arial" w:cs="Arial"/>
                <w:sz w:val="16"/>
              </w:rPr>
              <w:t xml:space="preserve">103,4 </w:t>
            </w:r>
          </w:p>
        </w:tc>
        <w:tc>
          <w:tcPr>
            <w:tcW w:w="710" w:type="dxa"/>
            <w:tcBorders>
              <w:top w:val="single" w:sz="2" w:space="0" w:color="95B3D7"/>
              <w:left w:val="single" w:sz="2" w:space="0" w:color="95B3D7"/>
              <w:bottom w:val="single" w:sz="2" w:space="0" w:color="95B3D7"/>
              <w:right w:val="single" w:sz="12" w:space="0" w:color="4F81BD"/>
            </w:tcBorders>
            <w:vAlign w:val="center"/>
          </w:tcPr>
          <w:p w:rsidR="00885611" w:rsidRPr="00314FA4" w:rsidRDefault="00885611" w:rsidP="00885611">
            <w:pPr>
              <w:ind w:right="43"/>
              <w:jc w:val="center"/>
              <w:rPr>
                <w:rFonts w:ascii="Arial" w:eastAsia="Arial" w:hAnsi="Arial" w:cs="Arial"/>
              </w:rPr>
            </w:pPr>
            <w:r w:rsidRPr="00314FA4">
              <w:rPr>
                <w:rFonts w:ascii="Arial" w:eastAsia="Arial" w:hAnsi="Arial" w:cs="Arial"/>
                <w:sz w:val="16"/>
              </w:rPr>
              <w:t xml:space="preserve">115,5 </w:t>
            </w:r>
          </w:p>
        </w:tc>
      </w:tr>
      <w:tr w:rsidR="00D74819" w:rsidRPr="00314FA4" w:rsidTr="00885611">
        <w:trPr>
          <w:trHeight w:val="400"/>
        </w:trPr>
        <w:tc>
          <w:tcPr>
            <w:tcW w:w="4383" w:type="dxa"/>
            <w:tcBorders>
              <w:top w:val="single" w:sz="2" w:space="0" w:color="95B3D7"/>
              <w:left w:val="single" w:sz="8" w:space="0" w:color="4F81BD"/>
              <w:bottom w:val="single" w:sz="2" w:space="0" w:color="95B3D7"/>
              <w:right w:val="single" w:sz="2" w:space="0" w:color="95B3D7"/>
            </w:tcBorders>
            <w:shd w:val="clear" w:color="auto" w:fill="DBE5F1"/>
          </w:tcPr>
          <w:p w:rsidR="00885611" w:rsidRPr="00314FA4" w:rsidRDefault="00885611" w:rsidP="00885611">
            <w:pPr>
              <w:rPr>
                <w:rFonts w:ascii="Arial" w:eastAsia="Arial" w:hAnsi="Arial" w:cs="Arial"/>
              </w:rPr>
            </w:pPr>
            <w:r w:rsidRPr="00314FA4">
              <w:rPr>
                <w:rFonts w:ascii="Arial" w:eastAsia="Arial" w:hAnsi="Arial" w:cs="Arial"/>
                <w:b/>
                <w:sz w:val="18"/>
              </w:rPr>
              <w:t xml:space="preserve">Industrijska proizvodnja - indeks </w:t>
            </w:r>
          </w:p>
        </w:tc>
        <w:tc>
          <w:tcPr>
            <w:tcW w:w="1135"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94,2 </w:t>
            </w:r>
          </w:p>
        </w:tc>
        <w:tc>
          <w:tcPr>
            <w:tcW w:w="1133"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109,8 </w:t>
            </w:r>
          </w:p>
        </w:tc>
        <w:tc>
          <w:tcPr>
            <w:tcW w:w="927"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5"/>
              <w:jc w:val="right"/>
              <w:rPr>
                <w:rFonts w:ascii="Arial" w:eastAsia="Arial" w:hAnsi="Arial" w:cs="Arial"/>
              </w:rPr>
            </w:pPr>
            <w:r w:rsidRPr="00314FA4">
              <w:rPr>
                <w:rFonts w:ascii="Arial" w:eastAsia="Arial" w:hAnsi="Arial" w:cs="Arial"/>
                <w:sz w:val="16"/>
              </w:rPr>
              <w:t xml:space="preserve">98,7 </w:t>
            </w:r>
          </w:p>
        </w:tc>
        <w:tc>
          <w:tcPr>
            <w:tcW w:w="967"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4"/>
              <w:jc w:val="right"/>
              <w:rPr>
                <w:rFonts w:ascii="Arial" w:eastAsia="Arial" w:hAnsi="Arial" w:cs="Arial"/>
              </w:rPr>
            </w:pPr>
            <w:r w:rsidRPr="00314FA4">
              <w:rPr>
                <w:rFonts w:ascii="Arial" w:eastAsia="Arial" w:hAnsi="Arial" w:cs="Arial"/>
                <w:sz w:val="16"/>
              </w:rPr>
              <w:t xml:space="preserve">118 </w:t>
            </w:r>
          </w:p>
        </w:tc>
        <w:tc>
          <w:tcPr>
            <w:tcW w:w="734"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6"/>
              <w:jc w:val="center"/>
              <w:rPr>
                <w:rFonts w:ascii="Arial" w:eastAsia="Arial" w:hAnsi="Arial" w:cs="Arial"/>
              </w:rPr>
            </w:pPr>
            <w:r w:rsidRPr="00314FA4">
              <w:rPr>
                <w:rFonts w:ascii="Arial" w:eastAsia="Arial" w:hAnsi="Arial" w:cs="Arial"/>
                <w:sz w:val="16"/>
              </w:rPr>
              <w:t xml:space="preserve">- </w:t>
            </w:r>
          </w:p>
        </w:tc>
        <w:tc>
          <w:tcPr>
            <w:tcW w:w="710" w:type="dxa"/>
            <w:tcBorders>
              <w:top w:val="single" w:sz="2" w:space="0" w:color="95B3D7"/>
              <w:left w:val="single" w:sz="2" w:space="0" w:color="95B3D7"/>
              <w:bottom w:val="single" w:sz="2" w:space="0" w:color="95B3D7"/>
              <w:right w:val="single" w:sz="12" w:space="0" w:color="4F81BD"/>
            </w:tcBorders>
            <w:shd w:val="clear" w:color="auto" w:fill="DBE5F1"/>
            <w:vAlign w:val="center"/>
          </w:tcPr>
          <w:p w:rsidR="00885611" w:rsidRPr="00314FA4" w:rsidRDefault="00885611" w:rsidP="00885611">
            <w:pPr>
              <w:ind w:right="45"/>
              <w:jc w:val="center"/>
              <w:rPr>
                <w:rFonts w:ascii="Arial" w:eastAsia="Arial" w:hAnsi="Arial" w:cs="Arial"/>
              </w:rPr>
            </w:pPr>
            <w:r w:rsidRPr="00314FA4">
              <w:rPr>
                <w:rFonts w:ascii="Arial" w:eastAsia="Arial" w:hAnsi="Arial" w:cs="Arial"/>
                <w:sz w:val="16"/>
              </w:rPr>
              <w:t xml:space="preserve">- </w:t>
            </w:r>
          </w:p>
        </w:tc>
      </w:tr>
      <w:tr w:rsidR="00D74819" w:rsidRPr="00314FA4" w:rsidTr="00885611">
        <w:trPr>
          <w:trHeight w:val="405"/>
        </w:trPr>
        <w:tc>
          <w:tcPr>
            <w:tcW w:w="4383" w:type="dxa"/>
            <w:tcBorders>
              <w:top w:val="single" w:sz="2" w:space="0" w:color="95B3D7"/>
              <w:left w:val="single" w:sz="8" w:space="0" w:color="4F81BD"/>
              <w:bottom w:val="single" w:sz="2" w:space="0" w:color="95B3D7"/>
              <w:right w:val="single" w:sz="2" w:space="0" w:color="95B3D7"/>
            </w:tcBorders>
          </w:tcPr>
          <w:p w:rsidR="00885611" w:rsidRPr="00314FA4" w:rsidRDefault="00885611" w:rsidP="00885611">
            <w:pPr>
              <w:rPr>
                <w:rFonts w:ascii="Arial" w:eastAsia="Arial" w:hAnsi="Arial" w:cs="Arial"/>
              </w:rPr>
            </w:pPr>
            <w:r w:rsidRPr="00314FA4">
              <w:rPr>
                <w:rFonts w:ascii="Arial" w:eastAsia="Arial" w:hAnsi="Arial" w:cs="Arial"/>
                <w:b/>
                <w:sz w:val="18"/>
              </w:rPr>
              <w:t xml:space="preserve">Izvoz robe - u 000 KM </w:t>
            </w:r>
          </w:p>
        </w:tc>
        <w:tc>
          <w:tcPr>
            <w:tcW w:w="1135"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6.871.411 </w:t>
            </w:r>
          </w:p>
        </w:tc>
        <w:tc>
          <w:tcPr>
            <w:tcW w:w="1133"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9.571.099 </w:t>
            </w:r>
          </w:p>
        </w:tc>
        <w:tc>
          <w:tcPr>
            <w:tcW w:w="927"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5"/>
              <w:jc w:val="right"/>
              <w:rPr>
                <w:rFonts w:ascii="Arial" w:eastAsia="Arial" w:hAnsi="Arial" w:cs="Arial"/>
              </w:rPr>
            </w:pPr>
            <w:r w:rsidRPr="00314FA4">
              <w:rPr>
                <w:rFonts w:ascii="Arial" w:eastAsia="Arial" w:hAnsi="Arial" w:cs="Arial"/>
                <w:sz w:val="16"/>
              </w:rPr>
              <w:t xml:space="preserve">161.434 </w:t>
            </w:r>
          </w:p>
        </w:tc>
        <w:tc>
          <w:tcPr>
            <w:tcW w:w="967"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5"/>
              <w:jc w:val="right"/>
              <w:rPr>
                <w:rFonts w:ascii="Arial" w:eastAsia="Arial" w:hAnsi="Arial" w:cs="Arial"/>
              </w:rPr>
            </w:pPr>
            <w:r w:rsidRPr="00314FA4">
              <w:rPr>
                <w:rFonts w:ascii="Arial" w:eastAsia="Arial" w:hAnsi="Arial" w:cs="Arial"/>
                <w:sz w:val="16"/>
              </w:rPr>
              <w:t xml:space="preserve">230.242 </w:t>
            </w:r>
          </w:p>
        </w:tc>
        <w:tc>
          <w:tcPr>
            <w:tcW w:w="734"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4"/>
              <w:jc w:val="center"/>
              <w:rPr>
                <w:rFonts w:ascii="Arial" w:eastAsia="Arial" w:hAnsi="Arial" w:cs="Arial"/>
              </w:rPr>
            </w:pPr>
            <w:r w:rsidRPr="00314FA4">
              <w:rPr>
                <w:rFonts w:ascii="Arial" w:eastAsia="Arial" w:hAnsi="Arial" w:cs="Arial"/>
                <w:sz w:val="16"/>
              </w:rPr>
              <w:t xml:space="preserve">2,3 </w:t>
            </w:r>
          </w:p>
        </w:tc>
        <w:tc>
          <w:tcPr>
            <w:tcW w:w="710" w:type="dxa"/>
            <w:tcBorders>
              <w:top w:val="single" w:sz="2" w:space="0" w:color="95B3D7"/>
              <w:left w:val="single" w:sz="2" w:space="0" w:color="95B3D7"/>
              <w:bottom w:val="single" w:sz="2" w:space="0" w:color="95B3D7"/>
              <w:right w:val="single" w:sz="12" w:space="0" w:color="4F81BD"/>
            </w:tcBorders>
            <w:vAlign w:val="center"/>
          </w:tcPr>
          <w:p w:rsidR="00885611" w:rsidRPr="00314FA4" w:rsidRDefault="00885611" w:rsidP="00885611">
            <w:pPr>
              <w:ind w:right="42"/>
              <w:jc w:val="center"/>
              <w:rPr>
                <w:rFonts w:ascii="Arial" w:eastAsia="Arial" w:hAnsi="Arial" w:cs="Arial"/>
              </w:rPr>
            </w:pPr>
            <w:r w:rsidRPr="00314FA4">
              <w:rPr>
                <w:rFonts w:ascii="Arial" w:eastAsia="Arial" w:hAnsi="Arial" w:cs="Arial"/>
                <w:sz w:val="16"/>
              </w:rPr>
              <w:t xml:space="preserve">2,4 </w:t>
            </w:r>
          </w:p>
        </w:tc>
      </w:tr>
      <w:tr w:rsidR="00D74819" w:rsidRPr="00314FA4" w:rsidTr="00885611">
        <w:trPr>
          <w:trHeight w:val="400"/>
        </w:trPr>
        <w:tc>
          <w:tcPr>
            <w:tcW w:w="4383" w:type="dxa"/>
            <w:tcBorders>
              <w:top w:val="single" w:sz="2" w:space="0" w:color="95B3D7"/>
              <w:left w:val="single" w:sz="8" w:space="0" w:color="4F81BD"/>
              <w:bottom w:val="single" w:sz="2" w:space="0" w:color="95B3D7"/>
              <w:right w:val="single" w:sz="2" w:space="0" w:color="95B3D7"/>
            </w:tcBorders>
            <w:shd w:val="clear" w:color="auto" w:fill="DBE5F1"/>
          </w:tcPr>
          <w:p w:rsidR="00885611" w:rsidRPr="00314FA4" w:rsidRDefault="00885611" w:rsidP="00885611">
            <w:pPr>
              <w:rPr>
                <w:rFonts w:ascii="Arial" w:eastAsia="Arial" w:hAnsi="Arial" w:cs="Arial"/>
              </w:rPr>
            </w:pPr>
            <w:r w:rsidRPr="00314FA4">
              <w:rPr>
                <w:rFonts w:ascii="Arial" w:eastAsia="Arial" w:hAnsi="Arial" w:cs="Arial"/>
                <w:b/>
                <w:sz w:val="18"/>
              </w:rPr>
              <w:t xml:space="preserve">Uvoz robe - u 000KM </w:t>
            </w:r>
          </w:p>
        </w:tc>
        <w:tc>
          <w:tcPr>
            <w:tcW w:w="1135"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11.680.596 </w:t>
            </w:r>
          </w:p>
        </w:tc>
        <w:tc>
          <w:tcPr>
            <w:tcW w:w="1133"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15.131.784 </w:t>
            </w:r>
          </w:p>
        </w:tc>
        <w:tc>
          <w:tcPr>
            <w:tcW w:w="927"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5"/>
              <w:jc w:val="right"/>
              <w:rPr>
                <w:rFonts w:ascii="Arial" w:eastAsia="Arial" w:hAnsi="Arial" w:cs="Arial"/>
              </w:rPr>
            </w:pPr>
            <w:r w:rsidRPr="00314FA4">
              <w:rPr>
                <w:rFonts w:ascii="Arial" w:eastAsia="Arial" w:hAnsi="Arial" w:cs="Arial"/>
                <w:sz w:val="16"/>
              </w:rPr>
              <w:t xml:space="preserve">89.544 </w:t>
            </w:r>
          </w:p>
        </w:tc>
        <w:tc>
          <w:tcPr>
            <w:tcW w:w="967"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5"/>
              <w:jc w:val="right"/>
              <w:rPr>
                <w:rFonts w:ascii="Arial" w:eastAsia="Arial" w:hAnsi="Arial" w:cs="Arial"/>
              </w:rPr>
            </w:pPr>
            <w:r w:rsidRPr="00314FA4">
              <w:rPr>
                <w:rFonts w:ascii="Arial" w:eastAsia="Arial" w:hAnsi="Arial" w:cs="Arial"/>
                <w:sz w:val="16"/>
              </w:rPr>
              <w:t xml:space="preserve">131.126 </w:t>
            </w:r>
          </w:p>
        </w:tc>
        <w:tc>
          <w:tcPr>
            <w:tcW w:w="734"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4"/>
              <w:jc w:val="center"/>
              <w:rPr>
                <w:rFonts w:ascii="Arial" w:eastAsia="Arial" w:hAnsi="Arial" w:cs="Arial"/>
              </w:rPr>
            </w:pPr>
            <w:r w:rsidRPr="00314FA4">
              <w:rPr>
                <w:rFonts w:ascii="Arial" w:eastAsia="Arial" w:hAnsi="Arial" w:cs="Arial"/>
                <w:sz w:val="16"/>
              </w:rPr>
              <w:t xml:space="preserve">0,8 </w:t>
            </w:r>
          </w:p>
        </w:tc>
        <w:tc>
          <w:tcPr>
            <w:tcW w:w="710" w:type="dxa"/>
            <w:tcBorders>
              <w:top w:val="single" w:sz="2" w:space="0" w:color="95B3D7"/>
              <w:left w:val="single" w:sz="2" w:space="0" w:color="95B3D7"/>
              <w:bottom w:val="single" w:sz="2" w:space="0" w:color="95B3D7"/>
              <w:right w:val="single" w:sz="12" w:space="0" w:color="4F81BD"/>
            </w:tcBorders>
            <w:shd w:val="clear" w:color="auto" w:fill="DBE5F1"/>
            <w:vAlign w:val="center"/>
          </w:tcPr>
          <w:p w:rsidR="00885611" w:rsidRPr="00314FA4" w:rsidRDefault="00885611" w:rsidP="00885611">
            <w:pPr>
              <w:ind w:right="42"/>
              <w:jc w:val="center"/>
              <w:rPr>
                <w:rFonts w:ascii="Arial" w:eastAsia="Arial" w:hAnsi="Arial" w:cs="Arial"/>
              </w:rPr>
            </w:pPr>
            <w:r w:rsidRPr="00314FA4">
              <w:rPr>
                <w:rFonts w:ascii="Arial" w:eastAsia="Arial" w:hAnsi="Arial" w:cs="Arial"/>
                <w:sz w:val="16"/>
              </w:rPr>
              <w:t xml:space="preserve">0,9 </w:t>
            </w:r>
          </w:p>
        </w:tc>
      </w:tr>
      <w:tr w:rsidR="00D74819" w:rsidRPr="00314FA4" w:rsidTr="00885611">
        <w:trPr>
          <w:trHeight w:val="404"/>
        </w:trPr>
        <w:tc>
          <w:tcPr>
            <w:tcW w:w="4383" w:type="dxa"/>
            <w:tcBorders>
              <w:top w:val="single" w:sz="2" w:space="0" w:color="95B3D7"/>
              <w:left w:val="single" w:sz="8" w:space="0" w:color="4F81BD"/>
              <w:bottom w:val="single" w:sz="2" w:space="0" w:color="95B3D7"/>
              <w:right w:val="single" w:sz="2" w:space="0" w:color="95B3D7"/>
            </w:tcBorders>
          </w:tcPr>
          <w:p w:rsidR="00885611" w:rsidRPr="00314FA4" w:rsidRDefault="00885611" w:rsidP="00885611">
            <w:pPr>
              <w:rPr>
                <w:rFonts w:ascii="Arial" w:eastAsia="Arial" w:hAnsi="Arial" w:cs="Arial"/>
              </w:rPr>
            </w:pPr>
            <w:r w:rsidRPr="00314FA4">
              <w:rPr>
                <w:rFonts w:ascii="Arial" w:eastAsia="Arial" w:hAnsi="Arial" w:cs="Arial"/>
                <w:b/>
                <w:sz w:val="18"/>
              </w:rPr>
              <w:lastRenderedPageBreak/>
              <w:t xml:space="preserve">Pokrivenosti uvoza izvozom u % </w:t>
            </w:r>
          </w:p>
        </w:tc>
        <w:tc>
          <w:tcPr>
            <w:tcW w:w="1135"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58,8 </w:t>
            </w:r>
          </w:p>
        </w:tc>
        <w:tc>
          <w:tcPr>
            <w:tcW w:w="1133"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63,3 </w:t>
            </w:r>
          </w:p>
        </w:tc>
        <w:tc>
          <w:tcPr>
            <w:tcW w:w="927"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5"/>
              <w:jc w:val="right"/>
              <w:rPr>
                <w:rFonts w:ascii="Arial" w:eastAsia="Arial" w:hAnsi="Arial" w:cs="Arial"/>
              </w:rPr>
            </w:pPr>
            <w:r w:rsidRPr="00314FA4">
              <w:rPr>
                <w:rFonts w:ascii="Arial" w:eastAsia="Arial" w:hAnsi="Arial" w:cs="Arial"/>
                <w:sz w:val="16"/>
              </w:rPr>
              <w:t xml:space="preserve">180,3 </w:t>
            </w:r>
          </w:p>
        </w:tc>
        <w:tc>
          <w:tcPr>
            <w:tcW w:w="967"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4"/>
              <w:jc w:val="right"/>
              <w:rPr>
                <w:rFonts w:ascii="Arial" w:eastAsia="Arial" w:hAnsi="Arial" w:cs="Arial"/>
              </w:rPr>
            </w:pPr>
            <w:r w:rsidRPr="00314FA4">
              <w:rPr>
                <w:rFonts w:ascii="Arial" w:eastAsia="Arial" w:hAnsi="Arial" w:cs="Arial"/>
                <w:sz w:val="16"/>
              </w:rPr>
              <w:t xml:space="preserve">180 </w:t>
            </w:r>
          </w:p>
        </w:tc>
        <w:tc>
          <w:tcPr>
            <w:tcW w:w="734"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6"/>
              <w:jc w:val="center"/>
              <w:rPr>
                <w:rFonts w:ascii="Arial" w:eastAsia="Arial" w:hAnsi="Arial" w:cs="Arial"/>
              </w:rPr>
            </w:pPr>
            <w:r w:rsidRPr="00314FA4">
              <w:rPr>
                <w:rFonts w:ascii="Arial" w:eastAsia="Arial" w:hAnsi="Arial" w:cs="Arial"/>
                <w:sz w:val="16"/>
              </w:rPr>
              <w:t xml:space="preserve">- </w:t>
            </w:r>
          </w:p>
        </w:tc>
        <w:tc>
          <w:tcPr>
            <w:tcW w:w="710" w:type="dxa"/>
            <w:tcBorders>
              <w:top w:val="single" w:sz="2" w:space="0" w:color="95B3D7"/>
              <w:left w:val="single" w:sz="2" w:space="0" w:color="95B3D7"/>
              <w:bottom w:val="single" w:sz="2" w:space="0" w:color="95B3D7"/>
              <w:right w:val="single" w:sz="12" w:space="0" w:color="4F81BD"/>
            </w:tcBorders>
            <w:vAlign w:val="center"/>
          </w:tcPr>
          <w:p w:rsidR="00885611" w:rsidRPr="00314FA4" w:rsidRDefault="00885611" w:rsidP="00885611">
            <w:pPr>
              <w:ind w:right="45"/>
              <w:jc w:val="center"/>
              <w:rPr>
                <w:rFonts w:ascii="Arial" w:eastAsia="Arial" w:hAnsi="Arial" w:cs="Arial"/>
              </w:rPr>
            </w:pPr>
            <w:r w:rsidRPr="00314FA4">
              <w:rPr>
                <w:rFonts w:ascii="Arial" w:eastAsia="Arial" w:hAnsi="Arial" w:cs="Arial"/>
                <w:sz w:val="16"/>
              </w:rPr>
              <w:t xml:space="preserve">- </w:t>
            </w:r>
          </w:p>
        </w:tc>
      </w:tr>
      <w:tr w:rsidR="00D74819" w:rsidRPr="00314FA4" w:rsidTr="00885611">
        <w:trPr>
          <w:trHeight w:val="400"/>
        </w:trPr>
        <w:tc>
          <w:tcPr>
            <w:tcW w:w="4383" w:type="dxa"/>
            <w:tcBorders>
              <w:top w:val="single" w:sz="2" w:space="0" w:color="95B3D7"/>
              <w:left w:val="single" w:sz="8" w:space="0" w:color="4F81BD"/>
              <w:bottom w:val="single" w:sz="2" w:space="0" w:color="95B3D7"/>
              <w:right w:val="single" w:sz="2" w:space="0" w:color="95B3D7"/>
            </w:tcBorders>
            <w:shd w:val="clear" w:color="auto" w:fill="DBE5F1"/>
          </w:tcPr>
          <w:p w:rsidR="00885611" w:rsidRPr="00314FA4" w:rsidRDefault="00885611" w:rsidP="00885611">
            <w:pPr>
              <w:rPr>
                <w:rFonts w:ascii="Arial" w:eastAsia="Arial" w:hAnsi="Arial" w:cs="Arial"/>
              </w:rPr>
            </w:pPr>
            <w:r w:rsidRPr="00314FA4">
              <w:rPr>
                <w:rFonts w:ascii="Arial" w:eastAsia="Arial" w:hAnsi="Arial" w:cs="Arial"/>
                <w:b/>
                <w:sz w:val="18"/>
              </w:rPr>
              <w:t xml:space="preserve">Trgovinski bilans u 000 KM (deficit) </w:t>
            </w:r>
          </w:p>
        </w:tc>
        <w:tc>
          <w:tcPr>
            <w:tcW w:w="1135"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-4.809.185 </w:t>
            </w:r>
          </w:p>
        </w:tc>
        <w:tc>
          <w:tcPr>
            <w:tcW w:w="1133"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-5.560.685 </w:t>
            </w:r>
          </w:p>
        </w:tc>
        <w:tc>
          <w:tcPr>
            <w:tcW w:w="927"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5"/>
              <w:jc w:val="right"/>
              <w:rPr>
                <w:rFonts w:ascii="Arial" w:eastAsia="Arial" w:hAnsi="Arial" w:cs="Arial"/>
              </w:rPr>
            </w:pPr>
            <w:r w:rsidRPr="00314FA4">
              <w:rPr>
                <w:rFonts w:ascii="Arial" w:eastAsia="Arial" w:hAnsi="Arial" w:cs="Arial"/>
                <w:sz w:val="16"/>
              </w:rPr>
              <w:t xml:space="preserve">71.890 </w:t>
            </w:r>
          </w:p>
        </w:tc>
        <w:tc>
          <w:tcPr>
            <w:tcW w:w="967"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5"/>
              <w:jc w:val="right"/>
              <w:rPr>
                <w:rFonts w:ascii="Arial" w:eastAsia="Arial" w:hAnsi="Arial" w:cs="Arial"/>
              </w:rPr>
            </w:pPr>
            <w:r w:rsidRPr="00314FA4">
              <w:rPr>
                <w:rFonts w:ascii="Arial" w:eastAsia="Arial" w:hAnsi="Arial" w:cs="Arial"/>
                <w:sz w:val="16"/>
              </w:rPr>
              <w:t xml:space="preserve">71.890 </w:t>
            </w:r>
          </w:p>
        </w:tc>
        <w:tc>
          <w:tcPr>
            <w:tcW w:w="734"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4"/>
              <w:jc w:val="center"/>
              <w:rPr>
                <w:rFonts w:ascii="Arial" w:eastAsia="Arial" w:hAnsi="Arial" w:cs="Arial"/>
              </w:rPr>
            </w:pPr>
            <w:r w:rsidRPr="00314FA4">
              <w:rPr>
                <w:rFonts w:ascii="Arial" w:eastAsia="Arial" w:hAnsi="Arial" w:cs="Arial"/>
                <w:sz w:val="16"/>
              </w:rPr>
              <w:t xml:space="preserve">-1,5 </w:t>
            </w:r>
          </w:p>
        </w:tc>
        <w:tc>
          <w:tcPr>
            <w:tcW w:w="710" w:type="dxa"/>
            <w:tcBorders>
              <w:top w:val="single" w:sz="2" w:space="0" w:color="95B3D7"/>
              <w:left w:val="single" w:sz="2" w:space="0" w:color="95B3D7"/>
              <w:bottom w:val="single" w:sz="2" w:space="0" w:color="95B3D7"/>
              <w:right w:val="single" w:sz="12" w:space="0" w:color="4F81BD"/>
            </w:tcBorders>
            <w:shd w:val="clear" w:color="auto" w:fill="DBE5F1"/>
            <w:vAlign w:val="center"/>
          </w:tcPr>
          <w:p w:rsidR="00885611" w:rsidRPr="00314FA4" w:rsidRDefault="00885611" w:rsidP="00885611">
            <w:pPr>
              <w:ind w:right="42"/>
              <w:jc w:val="center"/>
              <w:rPr>
                <w:rFonts w:ascii="Arial" w:eastAsia="Arial" w:hAnsi="Arial" w:cs="Arial"/>
              </w:rPr>
            </w:pPr>
            <w:r w:rsidRPr="00314FA4">
              <w:rPr>
                <w:rFonts w:ascii="Arial" w:eastAsia="Arial" w:hAnsi="Arial" w:cs="Arial"/>
                <w:sz w:val="16"/>
              </w:rPr>
              <w:t xml:space="preserve">-1,3 </w:t>
            </w:r>
          </w:p>
        </w:tc>
      </w:tr>
      <w:tr w:rsidR="00D74819" w:rsidRPr="00314FA4" w:rsidTr="00885611">
        <w:trPr>
          <w:trHeight w:val="404"/>
        </w:trPr>
        <w:tc>
          <w:tcPr>
            <w:tcW w:w="4383" w:type="dxa"/>
            <w:tcBorders>
              <w:top w:val="single" w:sz="2" w:space="0" w:color="95B3D7"/>
              <w:left w:val="single" w:sz="8" w:space="0" w:color="4F81BD"/>
              <w:bottom w:val="single" w:sz="2" w:space="0" w:color="95B3D7"/>
              <w:right w:val="single" w:sz="2" w:space="0" w:color="95B3D7"/>
            </w:tcBorders>
          </w:tcPr>
          <w:p w:rsidR="00885611" w:rsidRPr="00314FA4" w:rsidRDefault="00885611" w:rsidP="00885611">
            <w:pPr>
              <w:rPr>
                <w:rFonts w:ascii="Arial" w:eastAsia="Arial" w:hAnsi="Arial" w:cs="Arial"/>
              </w:rPr>
            </w:pPr>
            <w:r w:rsidRPr="00314FA4">
              <w:rPr>
                <w:rFonts w:ascii="Arial" w:eastAsia="Arial" w:hAnsi="Arial" w:cs="Arial"/>
                <w:b/>
                <w:sz w:val="18"/>
              </w:rPr>
              <w:t xml:space="preserve">Zaposlenost - prosjek </w:t>
            </w:r>
          </w:p>
        </w:tc>
        <w:tc>
          <w:tcPr>
            <w:tcW w:w="1135"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520.162 </w:t>
            </w:r>
          </w:p>
        </w:tc>
        <w:tc>
          <w:tcPr>
            <w:tcW w:w="1133"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525.397 </w:t>
            </w:r>
          </w:p>
        </w:tc>
        <w:tc>
          <w:tcPr>
            <w:tcW w:w="927"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5"/>
              <w:jc w:val="right"/>
              <w:rPr>
                <w:rFonts w:ascii="Arial" w:eastAsia="Arial" w:hAnsi="Arial" w:cs="Arial"/>
              </w:rPr>
            </w:pPr>
            <w:r w:rsidRPr="00314FA4">
              <w:rPr>
                <w:rFonts w:ascii="Arial" w:eastAsia="Arial" w:hAnsi="Arial" w:cs="Arial"/>
                <w:sz w:val="16"/>
              </w:rPr>
              <w:t xml:space="preserve">6.882 </w:t>
            </w:r>
          </w:p>
        </w:tc>
        <w:tc>
          <w:tcPr>
            <w:tcW w:w="967"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4"/>
              <w:jc w:val="right"/>
              <w:rPr>
                <w:rFonts w:ascii="Arial" w:eastAsia="Arial" w:hAnsi="Arial" w:cs="Arial"/>
              </w:rPr>
            </w:pPr>
            <w:r w:rsidRPr="00314FA4">
              <w:rPr>
                <w:rFonts w:ascii="Arial" w:eastAsia="Arial" w:hAnsi="Arial" w:cs="Arial"/>
                <w:sz w:val="16"/>
              </w:rPr>
              <w:t xml:space="preserve">6.913 </w:t>
            </w:r>
          </w:p>
        </w:tc>
        <w:tc>
          <w:tcPr>
            <w:tcW w:w="734"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4"/>
              <w:jc w:val="center"/>
              <w:rPr>
                <w:rFonts w:ascii="Arial" w:eastAsia="Arial" w:hAnsi="Arial" w:cs="Arial"/>
              </w:rPr>
            </w:pPr>
            <w:r w:rsidRPr="00314FA4">
              <w:rPr>
                <w:rFonts w:ascii="Arial" w:eastAsia="Arial" w:hAnsi="Arial" w:cs="Arial"/>
                <w:sz w:val="16"/>
              </w:rPr>
              <w:t xml:space="preserve">1,3 </w:t>
            </w:r>
          </w:p>
        </w:tc>
        <w:tc>
          <w:tcPr>
            <w:tcW w:w="710" w:type="dxa"/>
            <w:tcBorders>
              <w:top w:val="single" w:sz="2" w:space="0" w:color="95B3D7"/>
              <w:left w:val="single" w:sz="2" w:space="0" w:color="95B3D7"/>
              <w:bottom w:val="single" w:sz="2" w:space="0" w:color="95B3D7"/>
              <w:right w:val="single" w:sz="12" w:space="0" w:color="4F81BD"/>
            </w:tcBorders>
            <w:vAlign w:val="center"/>
          </w:tcPr>
          <w:p w:rsidR="00885611" w:rsidRPr="00314FA4" w:rsidRDefault="00885611" w:rsidP="00885611">
            <w:pPr>
              <w:ind w:right="42"/>
              <w:jc w:val="center"/>
              <w:rPr>
                <w:rFonts w:ascii="Arial" w:eastAsia="Arial" w:hAnsi="Arial" w:cs="Arial"/>
              </w:rPr>
            </w:pPr>
            <w:r w:rsidRPr="00314FA4">
              <w:rPr>
                <w:rFonts w:ascii="Arial" w:eastAsia="Arial" w:hAnsi="Arial" w:cs="Arial"/>
                <w:sz w:val="16"/>
              </w:rPr>
              <w:t xml:space="preserve">1,3 </w:t>
            </w:r>
          </w:p>
        </w:tc>
      </w:tr>
      <w:tr w:rsidR="00D74819" w:rsidRPr="00314FA4" w:rsidTr="00885611">
        <w:trPr>
          <w:trHeight w:val="400"/>
        </w:trPr>
        <w:tc>
          <w:tcPr>
            <w:tcW w:w="4383" w:type="dxa"/>
            <w:tcBorders>
              <w:top w:val="single" w:sz="2" w:space="0" w:color="95B3D7"/>
              <w:left w:val="single" w:sz="8" w:space="0" w:color="4F81BD"/>
              <w:bottom w:val="single" w:sz="2" w:space="0" w:color="95B3D7"/>
              <w:right w:val="single" w:sz="2" w:space="0" w:color="95B3D7"/>
            </w:tcBorders>
            <w:shd w:val="clear" w:color="auto" w:fill="DBE5F1"/>
          </w:tcPr>
          <w:p w:rsidR="00885611" w:rsidRPr="00314FA4" w:rsidRDefault="00885611" w:rsidP="00885611">
            <w:pPr>
              <w:rPr>
                <w:rFonts w:ascii="Arial" w:eastAsia="Arial" w:hAnsi="Arial" w:cs="Arial"/>
              </w:rPr>
            </w:pPr>
            <w:r w:rsidRPr="00314FA4">
              <w:rPr>
                <w:rFonts w:ascii="Arial" w:eastAsia="Arial" w:hAnsi="Arial" w:cs="Arial"/>
                <w:b/>
                <w:sz w:val="18"/>
              </w:rPr>
              <w:t xml:space="preserve">Radno sposobno stanovništvo (15-64) </w:t>
            </w:r>
          </w:p>
        </w:tc>
        <w:tc>
          <w:tcPr>
            <w:tcW w:w="1135"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1.513.497 </w:t>
            </w:r>
          </w:p>
        </w:tc>
        <w:tc>
          <w:tcPr>
            <w:tcW w:w="1133"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1.499.495 </w:t>
            </w:r>
          </w:p>
        </w:tc>
        <w:tc>
          <w:tcPr>
            <w:tcW w:w="927"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5"/>
              <w:jc w:val="right"/>
              <w:rPr>
                <w:rFonts w:ascii="Arial" w:eastAsia="Arial" w:hAnsi="Arial" w:cs="Arial"/>
              </w:rPr>
            </w:pPr>
            <w:r w:rsidRPr="00314FA4">
              <w:rPr>
                <w:rFonts w:ascii="Arial" w:eastAsia="Arial" w:hAnsi="Arial" w:cs="Arial"/>
                <w:sz w:val="16"/>
              </w:rPr>
              <w:t xml:space="preserve">15.076 </w:t>
            </w:r>
          </w:p>
        </w:tc>
        <w:tc>
          <w:tcPr>
            <w:tcW w:w="967"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5"/>
              <w:jc w:val="right"/>
              <w:rPr>
                <w:rFonts w:ascii="Arial" w:eastAsia="Arial" w:hAnsi="Arial" w:cs="Arial"/>
              </w:rPr>
            </w:pPr>
            <w:r w:rsidRPr="00314FA4">
              <w:rPr>
                <w:rFonts w:ascii="Arial" w:eastAsia="Arial" w:hAnsi="Arial" w:cs="Arial"/>
                <w:sz w:val="16"/>
              </w:rPr>
              <w:t xml:space="preserve">14.629 </w:t>
            </w:r>
          </w:p>
        </w:tc>
        <w:tc>
          <w:tcPr>
            <w:tcW w:w="734"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4"/>
              <w:jc w:val="center"/>
              <w:rPr>
                <w:rFonts w:ascii="Arial" w:eastAsia="Arial" w:hAnsi="Arial" w:cs="Arial"/>
              </w:rPr>
            </w:pPr>
            <w:r w:rsidRPr="00314FA4">
              <w:rPr>
                <w:rFonts w:ascii="Arial" w:eastAsia="Arial" w:hAnsi="Arial" w:cs="Arial"/>
                <w:sz w:val="16"/>
              </w:rPr>
              <w:t xml:space="preserve">1,0 </w:t>
            </w:r>
          </w:p>
        </w:tc>
        <w:tc>
          <w:tcPr>
            <w:tcW w:w="710" w:type="dxa"/>
            <w:tcBorders>
              <w:top w:val="single" w:sz="2" w:space="0" w:color="95B3D7"/>
              <w:left w:val="single" w:sz="2" w:space="0" w:color="95B3D7"/>
              <w:bottom w:val="single" w:sz="2" w:space="0" w:color="95B3D7"/>
              <w:right w:val="single" w:sz="12" w:space="0" w:color="4F81BD"/>
            </w:tcBorders>
            <w:shd w:val="clear" w:color="auto" w:fill="DBE5F1"/>
            <w:vAlign w:val="center"/>
          </w:tcPr>
          <w:p w:rsidR="00885611" w:rsidRPr="00314FA4" w:rsidRDefault="00885611" w:rsidP="00885611">
            <w:pPr>
              <w:ind w:right="42"/>
              <w:jc w:val="center"/>
              <w:rPr>
                <w:rFonts w:ascii="Arial" w:eastAsia="Arial" w:hAnsi="Arial" w:cs="Arial"/>
              </w:rPr>
            </w:pPr>
            <w:r w:rsidRPr="00314FA4">
              <w:rPr>
                <w:rFonts w:ascii="Arial" w:eastAsia="Arial" w:hAnsi="Arial" w:cs="Arial"/>
                <w:sz w:val="16"/>
              </w:rPr>
              <w:t xml:space="preserve">1,0 </w:t>
            </w:r>
          </w:p>
        </w:tc>
      </w:tr>
      <w:tr w:rsidR="00D74819" w:rsidRPr="00314FA4" w:rsidTr="00885611">
        <w:trPr>
          <w:trHeight w:val="404"/>
        </w:trPr>
        <w:tc>
          <w:tcPr>
            <w:tcW w:w="4383" w:type="dxa"/>
            <w:tcBorders>
              <w:top w:val="single" w:sz="2" w:space="0" w:color="95B3D7"/>
              <w:left w:val="single" w:sz="8" w:space="0" w:color="4F81BD"/>
              <w:bottom w:val="single" w:sz="2" w:space="0" w:color="95B3D7"/>
              <w:right w:val="single" w:sz="2" w:space="0" w:color="95B3D7"/>
            </w:tcBorders>
          </w:tcPr>
          <w:p w:rsidR="00885611" w:rsidRPr="00314FA4" w:rsidRDefault="00885611" w:rsidP="00885611">
            <w:pPr>
              <w:rPr>
                <w:rFonts w:ascii="Arial" w:eastAsia="Arial" w:hAnsi="Arial" w:cs="Arial"/>
              </w:rPr>
            </w:pPr>
            <w:r w:rsidRPr="00314FA4">
              <w:rPr>
                <w:rFonts w:ascii="Arial" w:eastAsia="Arial" w:hAnsi="Arial" w:cs="Arial"/>
                <w:b/>
                <w:sz w:val="18"/>
              </w:rPr>
              <w:t xml:space="preserve">Radna snaga - prosjek </w:t>
            </w:r>
          </w:p>
        </w:tc>
        <w:tc>
          <w:tcPr>
            <w:tcW w:w="1135"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841.743 </w:t>
            </w:r>
          </w:p>
        </w:tc>
        <w:tc>
          <w:tcPr>
            <w:tcW w:w="1133"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837.076 </w:t>
            </w:r>
          </w:p>
        </w:tc>
        <w:tc>
          <w:tcPr>
            <w:tcW w:w="927"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5"/>
              <w:jc w:val="right"/>
              <w:rPr>
                <w:rFonts w:ascii="Arial" w:eastAsia="Arial" w:hAnsi="Arial" w:cs="Arial"/>
              </w:rPr>
            </w:pPr>
            <w:r w:rsidRPr="00314FA4">
              <w:rPr>
                <w:rFonts w:ascii="Arial" w:eastAsia="Arial" w:hAnsi="Arial" w:cs="Arial"/>
                <w:sz w:val="16"/>
              </w:rPr>
              <w:t xml:space="preserve">10.245 </w:t>
            </w:r>
          </w:p>
        </w:tc>
        <w:tc>
          <w:tcPr>
            <w:tcW w:w="967"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5"/>
              <w:jc w:val="right"/>
              <w:rPr>
                <w:rFonts w:ascii="Arial" w:eastAsia="Arial" w:hAnsi="Arial" w:cs="Arial"/>
              </w:rPr>
            </w:pPr>
            <w:r w:rsidRPr="00314FA4">
              <w:rPr>
                <w:rFonts w:ascii="Arial" w:eastAsia="Arial" w:hAnsi="Arial" w:cs="Arial"/>
                <w:sz w:val="16"/>
              </w:rPr>
              <w:t xml:space="preserve">10.210 </w:t>
            </w:r>
          </w:p>
        </w:tc>
        <w:tc>
          <w:tcPr>
            <w:tcW w:w="734"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4"/>
              <w:jc w:val="center"/>
              <w:rPr>
                <w:rFonts w:ascii="Arial" w:eastAsia="Arial" w:hAnsi="Arial" w:cs="Arial"/>
              </w:rPr>
            </w:pPr>
            <w:r w:rsidRPr="00314FA4">
              <w:rPr>
                <w:rFonts w:ascii="Arial" w:eastAsia="Arial" w:hAnsi="Arial" w:cs="Arial"/>
                <w:sz w:val="16"/>
              </w:rPr>
              <w:t xml:space="preserve">1,2 </w:t>
            </w:r>
          </w:p>
        </w:tc>
        <w:tc>
          <w:tcPr>
            <w:tcW w:w="710" w:type="dxa"/>
            <w:tcBorders>
              <w:top w:val="single" w:sz="2" w:space="0" w:color="95B3D7"/>
              <w:left w:val="single" w:sz="2" w:space="0" w:color="95B3D7"/>
              <w:bottom w:val="single" w:sz="2" w:space="0" w:color="95B3D7"/>
              <w:right w:val="single" w:sz="12" w:space="0" w:color="4F81BD"/>
            </w:tcBorders>
            <w:vAlign w:val="center"/>
          </w:tcPr>
          <w:p w:rsidR="00885611" w:rsidRPr="00314FA4" w:rsidRDefault="00885611" w:rsidP="00885611">
            <w:pPr>
              <w:ind w:right="42"/>
              <w:jc w:val="center"/>
              <w:rPr>
                <w:rFonts w:ascii="Arial" w:eastAsia="Arial" w:hAnsi="Arial" w:cs="Arial"/>
              </w:rPr>
            </w:pPr>
            <w:r w:rsidRPr="00314FA4">
              <w:rPr>
                <w:rFonts w:ascii="Arial" w:eastAsia="Arial" w:hAnsi="Arial" w:cs="Arial"/>
                <w:sz w:val="16"/>
              </w:rPr>
              <w:t xml:space="preserve">1,2 </w:t>
            </w:r>
          </w:p>
        </w:tc>
      </w:tr>
      <w:tr w:rsidR="00D74819" w:rsidRPr="00314FA4" w:rsidTr="00885611">
        <w:trPr>
          <w:trHeight w:val="400"/>
        </w:trPr>
        <w:tc>
          <w:tcPr>
            <w:tcW w:w="4383" w:type="dxa"/>
            <w:tcBorders>
              <w:top w:val="single" w:sz="2" w:space="0" w:color="95B3D7"/>
              <w:left w:val="single" w:sz="8" w:space="0" w:color="4F81BD"/>
              <w:bottom w:val="single" w:sz="2" w:space="0" w:color="95B3D7"/>
              <w:right w:val="single" w:sz="2" w:space="0" w:color="95B3D7"/>
            </w:tcBorders>
            <w:shd w:val="clear" w:color="auto" w:fill="DBE5F1"/>
          </w:tcPr>
          <w:p w:rsidR="00885611" w:rsidRPr="00314FA4" w:rsidRDefault="00885611" w:rsidP="00885611">
            <w:pPr>
              <w:rPr>
                <w:rFonts w:ascii="Arial" w:eastAsia="Arial" w:hAnsi="Arial" w:cs="Arial"/>
              </w:rPr>
            </w:pPr>
            <w:r w:rsidRPr="00314FA4">
              <w:rPr>
                <w:rFonts w:ascii="Arial" w:eastAsia="Arial" w:hAnsi="Arial" w:cs="Arial"/>
                <w:b/>
                <w:sz w:val="18"/>
              </w:rPr>
              <w:t xml:space="preserve">Stopa registrovane zaposlenosti u % </w:t>
            </w:r>
          </w:p>
        </w:tc>
        <w:tc>
          <w:tcPr>
            <w:tcW w:w="1135"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34,4 </w:t>
            </w:r>
          </w:p>
        </w:tc>
        <w:tc>
          <w:tcPr>
            <w:tcW w:w="1133"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35,0 </w:t>
            </w:r>
          </w:p>
        </w:tc>
        <w:tc>
          <w:tcPr>
            <w:tcW w:w="927"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5"/>
              <w:jc w:val="right"/>
              <w:rPr>
                <w:rFonts w:ascii="Arial" w:eastAsia="Arial" w:hAnsi="Arial" w:cs="Arial"/>
              </w:rPr>
            </w:pPr>
            <w:r w:rsidRPr="00314FA4">
              <w:rPr>
                <w:rFonts w:ascii="Arial" w:eastAsia="Arial" w:hAnsi="Arial" w:cs="Arial"/>
                <w:sz w:val="16"/>
              </w:rPr>
              <w:t xml:space="preserve">45,6 </w:t>
            </w:r>
          </w:p>
        </w:tc>
        <w:tc>
          <w:tcPr>
            <w:tcW w:w="967"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4"/>
              <w:jc w:val="right"/>
              <w:rPr>
                <w:rFonts w:ascii="Arial" w:eastAsia="Arial" w:hAnsi="Arial" w:cs="Arial"/>
              </w:rPr>
            </w:pPr>
            <w:r w:rsidRPr="00314FA4">
              <w:rPr>
                <w:rFonts w:ascii="Arial" w:eastAsia="Arial" w:hAnsi="Arial" w:cs="Arial"/>
                <w:sz w:val="16"/>
              </w:rPr>
              <w:t xml:space="preserve">47 </w:t>
            </w:r>
          </w:p>
        </w:tc>
        <w:tc>
          <w:tcPr>
            <w:tcW w:w="734"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6"/>
              <w:jc w:val="center"/>
              <w:rPr>
                <w:rFonts w:ascii="Arial" w:eastAsia="Arial" w:hAnsi="Arial" w:cs="Arial"/>
              </w:rPr>
            </w:pPr>
            <w:r w:rsidRPr="00314FA4">
              <w:rPr>
                <w:rFonts w:ascii="Arial" w:eastAsia="Arial" w:hAnsi="Arial" w:cs="Arial"/>
                <w:sz w:val="16"/>
              </w:rPr>
              <w:t xml:space="preserve">- </w:t>
            </w:r>
          </w:p>
        </w:tc>
        <w:tc>
          <w:tcPr>
            <w:tcW w:w="710" w:type="dxa"/>
            <w:tcBorders>
              <w:top w:val="single" w:sz="2" w:space="0" w:color="95B3D7"/>
              <w:left w:val="single" w:sz="2" w:space="0" w:color="95B3D7"/>
              <w:bottom w:val="single" w:sz="2" w:space="0" w:color="95B3D7"/>
              <w:right w:val="single" w:sz="12" w:space="0" w:color="4F81BD"/>
            </w:tcBorders>
            <w:shd w:val="clear" w:color="auto" w:fill="DBE5F1"/>
            <w:vAlign w:val="center"/>
          </w:tcPr>
          <w:p w:rsidR="00885611" w:rsidRPr="00314FA4" w:rsidRDefault="00885611" w:rsidP="00885611">
            <w:pPr>
              <w:ind w:right="45"/>
              <w:jc w:val="center"/>
              <w:rPr>
                <w:rFonts w:ascii="Arial" w:eastAsia="Arial" w:hAnsi="Arial" w:cs="Arial"/>
              </w:rPr>
            </w:pPr>
            <w:r w:rsidRPr="00314FA4">
              <w:rPr>
                <w:rFonts w:ascii="Arial" w:eastAsia="Arial" w:hAnsi="Arial" w:cs="Arial"/>
                <w:sz w:val="16"/>
              </w:rPr>
              <w:t xml:space="preserve">- </w:t>
            </w:r>
          </w:p>
        </w:tc>
      </w:tr>
      <w:tr w:rsidR="00D74819" w:rsidRPr="00314FA4" w:rsidTr="00885611">
        <w:trPr>
          <w:trHeight w:val="404"/>
        </w:trPr>
        <w:tc>
          <w:tcPr>
            <w:tcW w:w="4383" w:type="dxa"/>
            <w:tcBorders>
              <w:top w:val="single" w:sz="2" w:space="0" w:color="95B3D7"/>
              <w:left w:val="single" w:sz="8" w:space="0" w:color="4F81BD"/>
              <w:bottom w:val="single" w:sz="2" w:space="0" w:color="95B3D7"/>
              <w:right w:val="single" w:sz="2" w:space="0" w:color="95B3D7"/>
            </w:tcBorders>
          </w:tcPr>
          <w:p w:rsidR="00885611" w:rsidRPr="00314FA4" w:rsidRDefault="00885611" w:rsidP="00885611">
            <w:pPr>
              <w:rPr>
                <w:rFonts w:ascii="Arial" w:eastAsia="Arial" w:hAnsi="Arial" w:cs="Arial"/>
              </w:rPr>
            </w:pPr>
            <w:r w:rsidRPr="00314FA4">
              <w:rPr>
                <w:rFonts w:ascii="Arial" w:eastAsia="Arial" w:hAnsi="Arial" w:cs="Arial"/>
                <w:b/>
                <w:sz w:val="18"/>
              </w:rPr>
              <w:t xml:space="preserve">Stopa aktivnosti u % </w:t>
            </w:r>
          </w:p>
        </w:tc>
        <w:tc>
          <w:tcPr>
            <w:tcW w:w="1135"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55,6 </w:t>
            </w:r>
          </w:p>
        </w:tc>
        <w:tc>
          <w:tcPr>
            <w:tcW w:w="1133"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55,8 </w:t>
            </w:r>
          </w:p>
        </w:tc>
        <w:tc>
          <w:tcPr>
            <w:tcW w:w="927"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5"/>
              <w:jc w:val="right"/>
              <w:rPr>
                <w:rFonts w:ascii="Arial" w:eastAsia="Arial" w:hAnsi="Arial" w:cs="Arial"/>
              </w:rPr>
            </w:pPr>
            <w:r w:rsidRPr="00314FA4">
              <w:rPr>
                <w:rFonts w:ascii="Arial" w:eastAsia="Arial" w:hAnsi="Arial" w:cs="Arial"/>
                <w:sz w:val="16"/>
              </w:rPr>
              <w:t xml:space="preserve">68,0 </w:t>
            </w:r>
          </w:p>
        </w:tc>
        <w:tc>
          <w:tcPr>
            <w:tcW w:w="967"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4"/>
              <w:jc w:val="right"/>
              <w:rPr>
                <w:rFonts w:ascii="Arial" w:eastAsia="Arial" w:hAnsi="Arial" w:cs="Arial"/>
              </w:rPr>
            </w:pPr>
            <w:r w:rsidRPr="00314FA4">
              <w:rPr>
                <w:rFonts w:ascii="Arial" w:eastAsia="Arial" w:hAnsi="Arial" w:cs="Arial"/>
                <w:sz w:val="16"/>
              </w:rPr>
              <w:t xml:space="preserve">70 </w:t>
            </w:r>
          </w:p>
        </w:tc>
        <w:tc>
          <w:tcPr>
            <w:tcW w:w="734"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6"/>
              <w:jc w:val="center"/>
              <w:rPr>
                <w:rFonts w:ascii="Arial" w:eastAsia="Arial" w:hAnsi="Arial" w:cs="Arial"/>
              </w:rPr>
            </w:pPr>
            <w:r w:rsidRPr="00314FA4">
              <w:rPr>
                <w:rFonts w:ascii="Arial" w:eastAsia="Arial" w:hAnsi="Arial" w:cs="Arial"/>
                <w:sz w:val="16"/>
              </w:rPr>
              <w:t xml:space="preserve">- </w:t>
            </w:r>
          </w:p>
        </w:tc>
        <w:tc>
          <w:tcPr>
            <w:tcW w:w="710" w:type="dxa"/>
            <w:tcBorders>
              <w:top w:val="single" w:sz="2" w:space="0" w:color="95B3D7"/>
              <w:left w:val="single" w:sz="2" w:space="0" w:color="95B3D7"/>
              <w:bottom w:val="single" w:sz="2" w:space="0" w:color="95B3D7"/>
              <w:right w:val="single" w:sz="12" w:space="0" w:color="4F81BD"/>
            </w:tcBorders>
            <w:vAlign w:val="center"/>
          </w:tcPr>
          <w:p w:rsidR="00885611" w:rsidRPr="00314FA4" w:rsidRDefault="00885611" w:rsidP="00885611">
            <w:pPr>
              <w:ind w:right="45"/>
              <w:jc w:val="center"/>
              <w:rPr>
                <w:rFonts w:ascii="Arial" w:eastAsia="Arial" w:hAnsi="Arial" w:cs="Arial"/>
              </w:rPr>
            </w:pPr>
            <w:r w:rsidRPr="00314FA4">
              <w:rPr>
                <w:rFonts w:ascii="Arial" w:eastAsia="Arial" w:hAnsi="Arial" w:cs="Arial"/>
                <w:sz w:val="16"/>
              </w:rPr>
              <w:t xml:space="preserve">- </w:t>
            </w:r>
          </w:p>
        </w:tc>
      </w:tr>
      <w:tr w:rsidR="00D74819" w:rsidRPr="00314FA4" w:rsidTr="00885611">
        <w:trPr>
          <w:trHeight w:val="400"/>
        </w:trPr>
        <w:tc>
          <w:tcPr>
            <w:tcW w:w="4383" w:type="dxa"/>
            <w:tcBorders>
              <w:top w:val="single" w:sz="2" w:space="0" w:color="95B3D7"/>
              <w:left w:val="single" w:sz="8" w:space="0" w:color="4F81BD"/>
              <w:bottom w:val="single" w:sz="2" w:space="0" w:color="95B3D7"/>
              <w:right w:val="single" w:sz="2" w:space="0" w:color="95B3D7"/>
            </w:tcBorders>
            <w:shd w:val="clear" w:color="auto" w:fill="DBE5F1"/>
          </w:tcPr>
          <w:p w:rsidR="00885611" w:rsidRPr="00314FA4" w:rsidRDefault="00885611" w:rsidP="00885611">
            <w:pPr>
              <w:rPr>
                <w:rFonts w:ascii="Arial" w:eastAsia="Arial" w:hAnsi="Arial" w:cs="Arial"/>
              </w:rPr>
            </w:pPr>
            <w:r w:rsidRPr="00314FA4">
              <w:rPr>
                <w:rFonts w:ascii="Arial" w:eastAsia="Arial" w:hAnsi="Arial" w:cs="Arial"/>
                <w:b/>
                <w:sz w:val="18"/>
              </w:rPr>
              <w:t xml:space="preserve">Nezaposlenost – prosjek </w:t>
            </w:r>
          </w:p>
        </w:tc>
        <w:tc>
          <w:tcPr>
            <w:tcW w:w="1135"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321.581 </w:t>
            </w:r>
          </w:p>
        </w:tc>
        <w:tc>
          <w:tcPr>
            <w:tcW w:w="1133"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311.679 </w:t>
            </w:r>
          </w:p>
        </w:tc>
        <w:tc>
          <w:tcPr>
            <w:tcW w:w="927"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5"/>
              <w:jc w:val="right"/>
              <w:rPr>
                <w:rFonts w:ascii="Arial" w:eastAsia="Arial" w:hAnsi="Arial" w:cs="Arial"/>
              </w:rPr>
            </w:pPr>
            <w:r w:rsidRPr="00314FA4">
              <w:rPr>
                <w:rFonts w:ascii="Arial" w:eastAsia="Arial" w:hAnsi="Arial" w:cs="Arial"/>
                <w:sz w:val="16"/>
              </w:rPr>
              <w:t xml:space="preserve">3.363 </w:t>
            </w:r>
          </w:p>
        </w:tc>
        <w:tc>
          <w:tcPr>
            <w:tcW w:w="967"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4"/>
              <w:jc w:val="right"/>
              <w:rPr>
                <w:rFonts w:ascii="Arial" w:eastAsia="Arial" w:hAnsi="Arial" w:cs="Arial"/>
              </w:rPr>
            </w:pPr>
            <w:r w:rsidRPr="00314FA4">
              <w:rPr>
                <w:rFonts w:ascii="Arial" w:eastAsia="Arial" w:hAnsi="Arial" w:cs="Arial"/>
                <w:sz w:val="16"/>
              </w:rPr>
              <w:t xml:space="preserve">3.297 </w:t>
            </w:r>
          </w:p>
        </w:tc>
        <w:tc>
          <w:tcPr>
            <w:tcW w:w="734"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4"/>
              <w:jc w:val="center"/>
              <w:rPr>
                <w:rFonts w:ascii="Arial" w:eastAsia="Arial" w:hAnsi="Arial" w:cs="Arial"/>
              </w:rPr>
            </w:pPr>
            <w:r w:rsidRPr="00314FA4">
              <w:rPr>
                <w:rFonts w:ascii="Arial" w:eastAsia="Arial" w:hAnsi="Arial" w:cs="Arial"/>
                <w:sz w:val="16"/>
              </w:rPr>
              <w:t xml:space="preserve">1,0 </w:t>
            </w:r>
          </w:p>
        </w:tc>
        <w:tc>
          <w:tcPr>
            <w:tcW w:w="710" w:type="dxa"/>
            <w:tcBorders>
              <w:top w:val="single" w:sz="2" w:space="0" w:color="95B3D7"/>
              <w:left w:val="single" w:sz="2" w:space="0" w:color="95B3D7"/>
              <w:bottom w:val="single" w:sz="2" w:space="0" w:color="95B3D7"/>
              <w:right w:val="single" w:sz="12" w:space="0" w:color="4F81BD"/>
            </w:tcBorders>
            <w:shd w:val="clear" w:color="auto" w:fill="DBE5F1"/>
            <w:vAlign w:val="center"/>
          </w:tcPr>
          <w:p w:rsidR="00885611" w:rsidRPr="00314FA4" w:rsidRDefault="00885611" w:rsidP="00885611">
            <w:pPr>
              <w:ind w:right="42"/>
              <w:jc w:val="center"/>
              <w:rPr>
                <w:rFonts w:ascii="Arial" w:eastAsia="Arial" w:hAnsi="Arial" w:cs="Arial"/>
              </w:rPr>
            </w:pPr>
            <w:r w:rsidRPr="00314FA4">
              <w:rPr>
                <w:rFonts w:ascii="Arial" w:eastAsia="Arial" w:hAnsi="Arial" w:cs="Arial"/>
                <w:sz w:val="16"/>
              </w:rPr>
              <w:t xml:space="preserve">1,1 </w:t>
            </w:r>
          </w:p>
        </w:tc>
      </w:tr>
      <w:tr w:rsidR="00D74819" w:rsidRPr="00314FA4" w:rsidTr="00885611">
        <w:trPr>
          <w:trHeight w:val="404"/>
        </w:trPr>
        <w:tc>
          <w:tcPr>
            <w:tcW w:w="4383" w:type="dxa"/>
            <w:tcBorders>
              <w:top w:val="single" w:sz="2" w:space="0" w:color="95B3D7"/>
              <w:left w:val="single" w:sz="8" w:space="0" w:color="4F81BD"/>
              <w:bottom w:val="single" w:sz="2" w:space="0" w:color="95B3D7"/>
              <w:right w:val="single" w:sz="2" w:space="0" w:color="95B3D7"/>
            </w:tcBorders>
          </w:tcPr>
          <w:p w:rsidR="00885611" w:rsidRPr="00314FA4" w:rsidRDefault="00885611" w:rsidP="00885611">
            <w:pPr>
              <w:rPr>
                <w:rFonts w:ascii="Arial" w:eastAsia="Arial" w:hAnsi="Arial" w:cs="Arial"/>
              </w:rPr>
            </w:pPr>
            <w:r w:rsidRPr="00314FA4">
              <w:rPr>
                <w:rFonts w:ascii="Arial" w:eastAsia="Arial" w:hAnsi="Arial" w:cs="Arial"/>
                <w:b/>
                <w:sz w:val="18"/>
              </w:rPr>
              <w:t xml:space="preserve">Stopa registrovane nezaposlenosti u % </w:t>
            </w:r>
          </w:p>
        </w:tc>
        <w:tc>
          <w:tcPr>
            <w:tcW w:w="1135"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38,2 </w:t>
            </w:r>
          </w:p>
        </w:tc>
        <w:tc>
          <w:tcPr>
            <w:tcW w:w="1133"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37,2 </w:t>
            </w:r>
          </w:p>
        </w:tc>
        <w:tc>
          <w:tcPr>
            <w:tcW w:w="927"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5"/>
              <w:jc w:val="right"/>
              <w:rPr>
                <w:rFonts w:ascii="Arial" w:eastAsia="Arial" w:hAnsi="Arial" w:cs="Arial"/>
              </w:rPr>
            </w:pPr>
            <w:r w:rsidRPr="00314FA4">
              <w:rPr>
                <w:rFonts w:ascii="Arial" w:eastAsia="Arial" w:hAnsi="Arial" w:cs="Arial"/>
                <w:sz w:val="16"/>
              </w:rPr>
              <w:t xml:space="preserve">32,8 </w:t>
            </w:r>
          </w:p>
        </w:tc>
        <w:tc>
          <w:tcPr>
            <w:tcW w:w="967"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4"/>
              <w:jc w:val="right"/>
              <w:rPr>
                <w:rFonts w:ascii="Arial" w:eastAsia="Arial" w:hAnsi="Arial" w:cs="Arial"/>
              </w:rPr>
            </w:pPr>
            <w:r w:rsidRPr="00314FA4">
              <w:rPr>
                <w:rFonts w:ascii="Arial" w:eastAsia="Arial" w:hAnsi="Arial" w:cs="Arial"/>
                <w:sz w:val="16"/>
              </w:rPr>
              <w:t xml:space="preserve">33 </w:t>
            </w:r>
          </w:p>
        </w:tc>
        <w:tc>
          <w:tcPr>
            <w:tcW w:w="734"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6"/>
              <w:jc w:val="center"/>
              <w:rPr>
                <w:rFonts w:ascii="Arial" w:eastAsia="Arial" w:hAnsi="Arial" w:cs="Arial"/>
              </w:rPr>
            </w:pPr>
            <w:r w:rsidRPr="00314FA4">
              <w:rPr>
                <w:rFonts w:ascii="Arial" w:eastAsia="Arial" w:hAnsi="Arial" w:cs="Arial"/>
                <w:sz w:val="16"/>
              </w:rPr>
              <w:t xml:space="preserve">- </w:t>
            </w:r>
          </w:p>
        </w:tc>
        <w:tc>
          <w:tcPr>
            <w:tcW w:w="710" w:type="dxa"/>
            <w:tcBorders>
              <w:top w:val="single" w:sz="2" w:space="0" w:color="95B3D7"/>
              <w:left w:val="single" w:sz="2" w:space="0" w:color="95B3D7"/>
              <w:bottom w:val="single" w:sz="2" w:space="0" w:color="95B3D7"/>
              <w:right w:val="single" w:sz="12" w:space="0" w:color="4F81BD"/>
            </w:tcBorders>
            <w:vAlign w:val="center"/>
          </w:tcPr>
          <w:p w:rsidR="00885611" w:rsidRPr="00314FA4" w:rsidRDefault="00885611" w:rsidP="00885611">
            <w:pPr>
              <w:ind w:right="45"/>
              <w:jc w:val="center"/>
              <w:rPr>
                <w:rFonts w:ascii="Arial" w:eastAsia="Arial" w:hAnsi="Arial" w:cs="Arial"/>
              </w:rPr>
            </w:pPr>
            <w:r w:rsidRPr="00314FA4">
              <w:rPr>
                <w:rFonts w:ascii="Arial" w:eastAsia="Arial" w:hAnsi="Arial" w:cs="Arial"/>
                <w:sz w:val="16"/>
              </w:rPr>
              <w:t xml:space="preserve">- </w:t>
            </w:r>
          </w:p>
        </w:tc>
      </w:tr>
      <w:tr w:rsidR="00D74819" w:rsidRPr="00314FA4" w:rsidTr="00885611">
        <w:trPr>
          <w:trHeight w:val="400"/>
        </w:trPr>
        <w:tc>
          <w:tcPr>
            <w:tcW w:w="4383" w:type="dxa"/>
            <w:tcBorders>
              <w:top w:val="single" w:sz="2" w:space="0" w:color="95B3D7"/>
              <w:left w:val="single" w:sz="8" w:space="0" w:color="4F81BD"/>
              <w:bottom w:val="single" w:sz="2" w:space="0" w:color="95B3D7"/>
              <w:right w:val="single" w:sz="2" w:space="0" w:color="95B3D7"/>
            </w:tcBorders>
            <w:shd w:val="clear" w:color="auto" w:fill="DBE5F1"/>
          </w:tcPr>
          <w:p w:rsidR="00885611" w:rsidRPr="00314FA4" w:rsidRDefault="00885611" w:rsidP="00885611">
            <w:pPr>
              <w:rPr>
                <w:rFonts w:ascii="Arial" w:eastAsia="Arial" w:hAnsi="Arial" w:cs="Arial"/>
              </w:rPr>
            </w:pPr>
            <w:r w:rsidRPr="00314FA4">
              <w:rPr>
                <w:rFonts w:ascii="Arial" w:eastAsia="Arial" w:hAnsi="Arial" w:cs="Arial"/>
                <w:b/>
                <w:sz w:val="18"/>
              </w:rPr>
              <w:t xml:space="preserve">Neto plaća - prosječna u KM </w:t>
            </w:r>
          </w:p>
        </w:tc>
        <w:tc>
          <w:tcPr>
            <w:tcW w:w="1135"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6"/>
              <w:jc w:val="right"/>
              <w:rPr>
                <w:rFonts w:ascii="Arial" w:eastAsia="Arial" w:hAnsi="Arial" w:cs="Arial"/>
              </w:rPr>
            </w:pPr>
            <w:r w:rsidRPr="00314FA4">
              <w:rPr>
                <w:rFonts w:ascii="Arial" w:eastAsia="Arial" w:hAnsi="Arial" w:cs="Arial"/>
                <w:sz w:val="16"/>
              </w:rPr>
              <w:t xml:space="preserve">956 </w:t>
            </w:r>
          </w:p>
        </w:tc>
        <w:tc>
          <w:tcPr>
            <w:tcW w:w="1133"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996 </w:t>
            </w:r>
          </w:p>
        </w:tc>
        <w:tc>
          <w:tcPr>
            <w:tcW w:w="927"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5"/>
              <w:jc w:val="right"/>
              <w:rPr>
                <w:rFonts w:ascii="Arial" w:eastAsia="Arial" w:hAnsi="Arial" w:cs="Arial"/>
              </w:rPr>
            </w:pPr>
            <w:r w:rsidRPr="00314FA4">
              <w:rPr>
                <w:rFonts w:ascii="Arial" w:eastAsia="Arial" w:hAnsi="Arial" w:cs="Arial"/>
                <w:sz w:val="16"/>
              </w:rPr>
              <w:t xml:space="preserve">856 </w:t>
            </w:r>
          </w:p>
        </w:tc>
        <w:tc>
          <w:tcPr>
            <w:tcW w:w="967"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4"/>
              <w:jc w:val="right"/>
              <w:rPr>
                <w:rFonts w:ascii="Arial" w:eastAsia="Arial" w:hAnsi="Arial" w:cs="Arial"/>
              </w:rPr>
            </w:pPr>
            <w:r w:rsidRPr="00314FA4">
              <w:rPr>
                <w:rFonts w:ascii="Arial" w:eastAsia="Arial" w:hAnsi="Arial" w:cs="Arial"/>
                <w:sz w:val="16"/>
              </w:rPr>
              <w:t xml:space="preserve">891 </w:t>
            </w:r>
          </w:p>
        </w:tc>
        <w:tc>
          <w:tcPr>
            <w:tcW w:w="734"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6"/>
              <w:jc w:val="center"/>
              <w:rPr>
                <w:rFonts w:ascii="Arial" w:eastAsia="Arial" w:hAnsi="Arial" w:cs="Arial"/>
              </w:rPr>
            </w:pPr>
            <w:r w:rsidRPr="00314FA4">
              <w:rPr>
                <w:rFonts w:ascii="Arial" w:eastAsia="Arial" w:hAnsi="Arial" w:cs="Arial"/>
                <w:sz w:val="16"/>
              </w:rPr>
              <w:t xml:space="preserve">89,5 </w:t>
            </w:r>
          </w:p>
        </w:tc>
        <w:tc>
          <w:tcPr>
            <w:tcW w:w="710" w:type="dxa"/>
            <w:tcBorders>
              <w:top w:val="single" w:sz="2" w:space="0" w:color="95B3D7"/>
              <w:left w:val="single" w:sz="2" w:space="0" w:color="95B3D7"/>
              <w:bottom w:val="single" w:sz="2" w:space="0" w:color="95B3D7"/>
              <w:right w:val="single" w:sz="12" w:space="0" w:color="4F81BD"/>
            </w:tcBorders>
            <w:shd w:val="clear" w:color="auto" w:fill="DBE5F1"/>
            <w:vAlign w:val="center"/>
          </w:tcPr>
          <w:p w:rsidR="00885611" w:rsidRPr="00314FA4" w:rsidRDefault="00885611" w:rsidP="00885611">
            <w:pPr>
              <w:ind w:right="45"/>
              <w:jc w:val="center"/>
              <w:rPr>
                <w:rFonts w:ascii="Arial" w:eastAsia="Arial" w:hAnsi="Arial" w:cs="Arial"/>
              </w:rPr>
            </w:pPr>
            <w:r w:rsidRPr="00314FA4">
              <w:rPr>
                <w:rFonts w:ascii="Arial" w:eastAsia="Arial" w:hAnsi="Arial" w:cs="Arial"/>
                <w:sz w:val="16"/>
              </w:rPr>
              <w:t xml:space="preserve">89,5 </w:t>
            </w:r>
          </w:p>
        </w:tc>
      </w:tr>
      <w:tr w:rsidR="00D74819" w:rsidRPr="00314FA4" w:rsidTr="00885611">
        <w:trPr>
          <w:trHeight w:val="404"/>
        </w:trPr>
        <w:tc>
          <w:tcPr>
            <w:tcW w:w="4383" w:type="dxa"/>
            <w:tcBorders>
              <w:top w:val="single" w:sz="2" w:space="0" w:color="95B3D7"/>
              <w:left w:val="single" w:sz="8" w:space="0" w:color="4F81BD"/>
              <w:bottom w:val="single" w:sz="2" w:space="0" w:color="95B3D7"/>
              <w:right w:val="single" w:sz="2" w:space="0" w:color="95B3D7"/>
            </w:tcBorders>
          </w:tcPr>
          <w:p w:rsidR="00885611" w:rsidRPr="00314FA4" w:rsidRDefault="00885611" w:rsidP="00885611">
            <w:pPr>
              <w:rPr>
                <w:rFonts w:ascii="Arial" w:eastAsia="Arial" w:hAnsi="Arial" w:cs="Arial"/>
              </w:rPr>
            </w:pPr>
            <w:r w:rsidRPr="00314FA4">
              <w:rPr>
                <w:rFonts w:ascii="Arial" w:eastAsia="Arial" w:hAnsi="Arial" w:cs="Arial"/>
                <w:b/>
                <w:sz w:val="18"/>
              </w:rPr>
              <w:t xml:space="preserve">Penzija - prosječna u KM </w:t>
            </w:r>
          </w:p>
        </w:tc>
        <w:tc>
          <w:tcPr>
            <w:tcW w:w="1135"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6"/>
              <w:jc w:val="right"/>
              <w:rPr>
                <w:rFonts w:ascii="Arial" w:eastAsia="Arial" w:hAnsi="Arial" w:cs="Arial"/>
              </w:rPr>
            </w:pPr>
            <w:r w:rsidRPr="00314FA4">
              <w:rPr>
                <w:rFonts w:ascii="Arial" w:eastAsia="Arial" w:hAnsi="Arial" w:cs="Arial"/>
                <w:sz w:val="16"/>
              </w:rPr>
              <w:t xml:space="preserve">428 </w:t>
            </w:r>
          </w:p>
        </w:tc>
        <w:tc>
          <w:tcPr>
            <w:tcW w:w="1133"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428 </w:t>
            </w:r>
          </w:p>
        </w:tc>
        <w:tc>
          <w:tcPr>
            <w:tcW w:w="927"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5"/>
              <w:jc w:val="right"/>
              <w:rPr>
                <w:rFonts w:ascii="Arial" w:eastAsia="Arial" w:hAnsi="Arial" w:cs="Arial"/>
              </w:rPr>
            </w:pPr>
            <w:r w:rsidRPr="00314FA4">
              <w:rPr>
                <w:rFonts w:ascii="Arial" w:eastAsia="Arial" w:hAnsi="Arial" w:cs="Arial"/>
                <w:sz w:val="16"/>
              </w:rPr>
              <w:t xml:space="preserve">464 </w:t>
            </w:r>
          </w:p>
        </w:tc>
        <w:tc>
          <w:tcPr>
            <w:tcW w:w="967"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4"/>
              <w:jc w:val="right"/>
              <w:rPr>
                <w:rFonts w:ascii="Arial" w:eastAsia="Arial" w:hAnsi="Arial" w:cs="Arial"/>
              </w:rPr>
            </w:pPr>
            <w:r w:rsidRPr="00314FA4">
              <w:rPr>
                <w:rFonts w:ascii="Arial" w:eastAsia="Arial" w:hAnsi="Arial" w:cs="Arial"/>
                <w:sz w:val="16"/>
              </w:rPr>
              <w:t xml:space="preserve">467 </w:t>
            </w:r>
          </w:p>
        </w:tc>
        <w:tc>
          <w:tcPr>
            <w:tcW w:w="734"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4"/>
              <w:jc w:val="center"/>
              <w:rPr>
                <w:rFonts w:ascii="Arial" w:eastAsia="Arial" w:hAnsi="Arial" w:cs="Arial"/>
              </w:rPr>
            </w:pPr>
            <w:r w:rsidRPr="00314FA4">
              <w:rPr>
                <w:rFonts w:ascii="Arial" w:eastAsia="Arial" w:hAnsi="Arial" w:cs="Arial"/>
                <w:sz w:val="16"/>
              </w:rPr>
              <w:t xml:space="preserve">108,4 </w:t>
            </w:r>
          </w:p>
        </w:tc>
        <w:tc>
          <w:tcPr>
            <w:tcW w:w="710" w:type="dxa"/>
            <w:tcBorders>
              <w:top w:val="single" w:sz="2" w:space="0" w:color="95B3D7"/>
              <w:left w:val="single" w:sz="2" w:space="0" w:color="95B3D7"/>
              <w:bottom w:val="single" w:sz="2" w:space="0" w:color="95B3D7"/>
              <w:right w:val="single" w:sz="12" w:space="0" w:color="4F81BD"/>
            </w:tcBorders>
            <w:vAlign w:val="center"/>
          </w:tcPr>
          <w:p w:rsidR="00885611" w:rsidRPr="00314FA4" w:rsidRDefault="00885611" w:rsidP="00885611">
            <w:pPr>
              <w:ind w:right="43"/>
              <w:jc w:val="center"/>
              <w:rPr>
                <w:rFonts w:ascii="Arial" w:eastAsia="Arial" w:hAnsi="Arial" w:cs="Arial"/>
              </w:rPr>
            </w:pPr>
            <w:r w:rsidRPr="00314FA4">
              <w:rPr>
                <w:rFonts w:ascii="Arial" w:eastAsia="Arial" w:hAnsi="Arial" w:cs="Arial"/>
                <w:sz w:val="16"/>
              </w:rPr>
              <w:t xml:space="preserve">109,1 </w:t>
            </w:r>
          </w:p>
        </w:tc>
      </w:tr>
      <w:tr w:rsidR="00D74819" w:rsidRPr="00314FA4" w:rsidTr="00885611">
        <w:trPr>
          <w:trHeight w:val="400"/>
        </w:trPr>
        <w:tc>
          <w:tcPr>
            <w:tcW w:w="4383" w:type="dxa"/>
            <w:tcBorders>
              <w:top w:val="single" w:sz="2" w:space="0" w:color="95B3D7"/>
              <w:left w:val="single" w:sz="8" w:space="0" w:color="4F81BD"/>
              <w:bottom w:val="single" w:sz="2" w:space="0" w:color="95B3D7"/>
              <w:right w:val="single" w:sz="2" w:space="0" w:color="95B3D7"/>
            </w:tcBorders>
            <w:shd w:val="clear" w:color="auto" w:fill="DBE5F1"/>
          </w:tcPr>
          <w:p w:rsidR="00885611" w:rsidRPr="00314FA4" w:rsidRDefault="00885611" w:rsidP="00885611">
            <w:pPr>
              <w:rPr>
                <w:rFonts w:ascii="Arial" w:eastAsia="Arial" w:hAnsi="Arial" w:cs="Arial"/>
              </w:rPr>
            </w:pPr>
            <w:r w:rsidRPr="00314FA4">
              <w:rPr>
                <w:rFonts w:ascii="Arial" w:eastAsia="Arial" w:hAnsi="Arial" w:cs="Arial"/>
                <w:b/>
                <w:sz w:val="18"/>
              </w:rPr>
              <w:t xml:space="preserve">Broj penzionera – broj sa stanjem 31.12. </w:t>
            </w:r>
          </w:p>
        </w:tc>
        <w:tc>
          <w:tcPr>
            <w:tcW w:w="1135"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428.117 </w:t>
            </w:r>
          </w:p>
        </w:tc>
        <w:tc>
          <w:tcPr>
            <w:tcW w:w="1133"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429.545 </w:t>
            </w:r>
          </w:p>
        </w:tc>
        <w:tc>
          <w:tcPr>
            <w:tcW w:w="927"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5"/>
              <w:jc w:val="right"/>
              <w:rPr>
                <w:rFonts w:ascii="Arial" w:eastAsia="Arial" w:hAnsi="Arial" w:cs="Arial"/>
              </w:rPr>
            </w:pPr>
            <w:r w:rsidRPr="00314FA4">
              <w:rPr>
                <w:rFonts w:ascii="Arial" w:eastAsia="Arial" w:hAnsi="Arial" w:cs="Arial"/>
                <w:sz w:val="16"/>
              </w:rPr>
              <w:t xml:space="preserve">5.506 </w:t>
            </w:r>
          </w:p>
        </w:tc>
        <w:tc>
          <w:tcPr>
            <w:tcW w:w="967"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4"/>
              <w:jc w:val="right"/>
              <w:rPr>
                <w:rFonts w:ascii="Arial" w:eastAsia="Arial" w:hAnsi="Arial" w:cs="Arial"/>
              </w:rPr>
            </w:pPr>
            <w:r w:rsidRPr="00314FA4">
              <w:rPr>
                <w:rFonts w:ascii="Arial" w:eastAsia="Arial" w:hAnsi="Arial" w:cs="Arial"/>
                <w:sz w:val="16"/>
              </w:rPr>
              <w:t xml:space="preserve">5.441 </w:t>
            </w:r>
          </w:p>
        </w:tc>
        <w:tc>
          <w:tcPr>
            <w:tcW w:w="734"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4"/>
              <w:jc w:val="center"/>
              <w:rPr>
                <w:rFonts w:ascii="Arial" w:eastAsia="Arial" w:hAnsi="Arial" w:cs="Arial"/>
              </w:rPr>
            </w:pPr>
            <w:r w:rsidRPr="00314FA4">
              <w:rPr>
                <w:rFonts w:ascii="Arial" w:eastAsia="Arial" w:hAnsi="Arial" w:cs="Arial"/>
                <w:sz w:val="16"/>
              </w:rPr>
              <w:t xml:space="preserve">1,3 </w:t>
            </w:r>
          </w:p>
        </w:tc>
        <w:tc>
          <w:tcPr>
            <w:tcW w:w="710" w:type="dxa"/>
            <w:tcBorders>
              <w:top w:val="single" w:sz="2" w:space="0" w:color="95B3D7"/>
              <w:left w:val="single" w:sz="2" w:space="0" w:color="95B3D7"/>
              <w:bottom w:val="single" w:sz="2" w:space="0" w:color="95B3D7"/>
              <w:right w:val="single" w:sz="12" w:space="0" w:color="4F81BD"/>
            </w:tcBorders>
            <w:shd w:val="clear" w:color="auto" w:fill="DBE5F1"/>
            <w:vAlign w:val="center"/>
          </w:tcPr>
          <w:p w:rsidR="00885611" w:rsidRPr="00314FA4" w:rsidRDefault="00885611" w:rsidP="00885611">
            <w:pPr>
              <w:ind w:right="42"/>
              <w:jc w:val="center"/>
              <w:rPr>
                <w:rFonts w:ascii="Arial" w:eastAsia="Arial" w:hAnsi="Arial" w:cs="Arial"/>
              </w:rPr>
            </w:pPr>
            <w:r w:rsidRPr="00314FA4">
              <w:rPr>
                <w:rFonts w:ascii="Arial" w:eastAsia="Arial" w:hAnsi="Arial" w:cs="Arial"/>
                <w:sz w:val="16"/>
              </w:rPr>
              <w:t xml:space="preserve">1,3 </w:t>
            </w:r>
          </w:p>
        </w:tc>
      </w:tr>
      <w:tr w:rsidR="00D74819" w:rsidRPr="00314FA4" w:rsidTr="00885611">
        <w:trPr>
          <w:trHeight w:val="421"/>
        </w:trPr>
        <w:tc>
          <w:tcPr>
            <w:tcW w:w="4383" w:type="dxa"/>
            <w:tcBorders>
              <w:top w:val="single" w:sz="2" w:space="0" w:color="95B3D7"/>
              <w:left w:val="single" w:sz="8" w:space="0" w:color="4F81BD"/>
              <w:bottom w:val="single" w:sz="2" w:space="0" w:color="95B3D7"/>
              <w:right w:val="single" w:sz="2" w:space="0" w:color="95B3D7"/>
            </w:tcBorders>
          </w:tcPr>
          <w:p w:rsidR="00885611" w:rsidRPr="00314FA4" w:rsidRDefault="00885611" w:rsidP="00885611">
            <w:pPr>
              <w:rPr>
                <w:rFonts w:ascii="Arial" w:eastAsia="Arial" w:hAnsi="Arial" w:cs="Arial"/>
              </w:rPr>
            </w:pPr>
            <w:r w:rsidRPr="00314FA4">
              <w:rPr>
                <w:rFonts w:ascii="Arial" w:eastAsia="Arial" w:hAnsi="Arial" w:cs="Arial"/>
                <w:b/>
                <w:sz w:val="18"/>
              </w:rPr>
              <w:t xml:space="preserve">Broj poslovnih subjekata – broj sa stanjem 31.12. </w:t>
            </w:r>
          </w:p>
        </w:tc>
        <w:tc>
          <w:tcPr>
            <w:tcW w:w="1135"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114.867 </w:t>
            </w:r>
          </w:p>
        </w:tc>
        <w:tc>
          <w:tcPr>
            <w:tcW w:w="1133"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117.160 </w:t>
            </w:r>
          </w:p>
        </w:tc>
        <w:tc>
          <w:tcPr>
            <w:tcW w:w="927"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5"/>
              <w:jc w:val="right"/>
              <w:rPr>
                <w:rFonts w:ascii="Arial" w:eastAsia="Arial" w:hAnsi="Arial" w:cs="Arial"/>
              </w:rPr>
            </w:pPr>
            <w:r w:rsidRPr="00314FA4">
              <w:rPr>
                <w:rFonts w:ascii="Arial" w:eastAsia="Arial" w:hAnsi="Arial" w:cs="Arial"/>
                <w:sz w:val="16"/>
              </w:rPr>
              <w:t xml:space="preserve">1.060 </w:t>
            </w:r>
          </w:p>
        </w:tc>
        <w:tc>
          <w:tcPr>
            <w:tcW w:w="967"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4"/>
              <w:jc w:val="right"/>
              <w:rPr>
                <w:rFonts w:ascii="Arial" w:eastAsia="Arial" w:hAnsi="Arial" w:cs="Arial"/>
              </w:rPr>
            </w:pPr>
            <w:r w:rsidRPr="00314FA4">
              <w:rPr>
                <w:rFonts w:ascii="Arial" w:eastAsia="Arial" w:hAnsi="Arial" w:cs="Arial"/>
                <w:sz w:val="16"/>
              </w:rPr>
              <w:t xml:space="preserve">1.098 </w:t>
            </w:r>
          </w:p>
        </w:tc>
        <w:tc>
          <w:tcPr>
            <w:tcW w:w="734" w:type="dxa"/>
            <w:tcBorders>
              <w:top w:val="single" w:sz="2" w:space="0" w:color="95B3D7"/>
              <w:left w:val="single" w:sz="2" w:space="0" w:color="95B3D7"/>
              <w:bottom w:val="single" w:sz="2" w:space="0" w:color="95B3D7"/>
              <w:right w:val="single" w:sz="2" w:space="0" w:color="95B3D7"/>
            </w:tcBorders>
            <w:vAlign w:val="center"/>
          </w:tcPr>
          <w:p w:rsidR="00885611" w:rsidRPr="00314FA4" w:rsidRDefault="00885611" w:rsidP="00885611">
            <w:pPr>
              <w:ind w:right="44"/>
              <w:jc w:val="center"/>
              <w:rPr>
                <w:rFonts w:ascii="Arial" w:eastAsia="Arial" w:hAnsi="Arial" w:cs="Arial"/>
              </w:rPr>
            </w:pPr>
            <w:r w:rsidRPr="00314FA4">
              <w:rPr>
                <w:rFonts w:ascii="Arial" w:eastAsia="Arial" w:hAnsi="Arial" w:cs="Arial"/>
                <w:sz w:val="16"/>
              </w:rPr>
              <w:t xml:space="preserve">0,9 </w:t>
            </w:r>
          </w:p>
        </w:tc>
        <w:tc>
          <w:tcPr>
            <w:tcW w:w="710" w:type="dxa"/>
            <w:tcBorders>
              <w:top w:val="single" w:sz="2" w:space="0" w:color="95B3D7"/>
              <w:left w:val="single" w:sz="2" w:space="0" w:color="95B3D7"/>
              <w:bottom w:val="single" w:sz="2" w:space="0" w:color="95B3D7"/>
              <w:right w:val="single" w:sz="12" w:space="0" w:color="4F81BD"/>
            </w:tcBorders>
            <w:vAlign w:val="center"/>
          </w:tcPr>
          <w:p w:rsidR="00885611" w:rsidRPr="00314FA4" w:rsidRDefault="00885611" w:rsidP="00885611">
            <w:pPr>
              <w:ind w:right="42"/>
              <w:jc w:val="center"/>
              <w:rPr>
                <w:rFonts w:ascii="Arial" w:eastAsia="Arial" w:hAnsi="Arial" w:cs="Arial"/>
              </w:rPr>
            </w:pPr>
            <w:r w:rsidRPr="00314FA4">
              <w:rPr>
                <w:rFonts w:ascii="Arial" w:eastAsia="Arial" w:hAnsi="Arial" w:cs="Arial"/>
                <w:sz w:val="16"/>
              </w:rPr>
              <w:t xml:space="preserve">0,9 </w:t>
            </w:r>
          </w:p>
        </w:tc>
      </w:tr>
      <w:tr w:rsidR="00D74819" w:rsidRPr="00314FA4" w:rsidTr="00885611">
        <w:trPr>
          <w:trHeight w:val="400"/>
        </w:trPr>
        <w:tc>
          <w:tcPr>
            <w:tcW w:w="4383" w:type="dxa"/>
            <w:tcBorders>
              <w:top w:val="single" w:sz="2" w:space="0" w:color="95B3D7"/>
              <w:left w:val="single" w:sz="8" w:space="0" w:color="4F81BD"/>
              <w:bottom w:val="single" w:sz="2" w:space="0" w:color="95B3D7"/>
              <w:right w:val="single" w:sz="2" w:space="0" w:color="95B3D7"/>
            </w:tcBorders>
            <w:shd w:val="clear" w:color="auto" w:fill="DBE5F1"/>
          </w:tcPr>
          <w:p w:rsidR="00885611" w:rsidRPr="00314FA4" w:rsidRDefault="00885611" w:rsidP="00885611">
            <w:pPr>
              <w:rPr>
                <w:rFonts w:ascii="Arial" w:eastAsia="Arial" w:hAnsi="Arial" w:cs="Arial"/>
              </w:rPr>
            </w:pPr>
            <w:r w:rsidRPr="00314FA4">
              <w:rPr>
                <w:rFonts w:ascii="Arial" w:eastAsia="Arial" w:hAnsi="Arial" w:cs="Arial"/>
                <w:b/>
                <w:sz w:val="18"/>
              </w:rPr>
              <w:t xml:space="preserve">Buto ostvarene investicije u mil. KM </w:t>
            </w:r>
          </w:p>
        </w:tc>
        <w:tc>
          <w:tcPr>
            <w:tcW w:w="1135"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4"/>
              <w:jc w:val="right"/>
              <w:rPr>
                <w:rFonts w:ascii="Arial" w:eastAsia="Arial" w:hAnsi="Arial" w:cs="Arial"/>
              </w:rPr>
            </w:pPr>
            <w:r w:rsidRPr="00314FA4">
              <w:rPr>
                <w:rFonts w:ascii="Arial" w:eastAsia="Arial" w:hAnsi="Arial" w:cs="Arial"/>
                <w:sz w:val="16"/>
              </w:rPr>
              <w:t xml:space="preserve">3.419,0 </w:t>
            </w:r>
          </w:p>
        </w:tc>
        <w:tc>
          <w:tcPr>
            <w:tcW w:w="1133"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6"/>
              <w:jc w:val="center"/>
              <w:rPr>
                <w:rFonts w:ascii="Arial" w:eastAsia="Arial" w:hAnsi="Arial" w:cs="Arial"/>
              </w:rPr>
            </w:pPr>
            <w:r w:rsidRPr="00314FA4">
              <w:rPr>
                <w:rFonts w:ascii="Arial" w:eastAsia="Arial" w:hAnsi="Arial" w:cs="Arial"/>
                <w:sz w:val="16"/>
              </w:rPr>
              <w:t>-</w:t>
            </w:r>
            <w:r w:rsidRPr="00314FA4">
              <w:rPr>
                <w:rFonts w:ascii="Arial" w:eastAsia="Arial" w:hAnsi="Arial" w:cs="Arial"/>
                <w:sz w:val="10"/>
                <w:vertAlign w:val="superscript"/>
              </w:rPr>
              <w:footnoteReference w:id="3"/>
            </w:r>
            <w:r w:rsidRPr="00314FA4">
              <w:rPr>
                <w:rFonts w:ascii="Arial" w:eastAsia="Arial" w:hAnsi="Arial" w:cs="Arial"/>
                <w:sz w:val="16"/>
              </w:rPr>
              <w:t xml:space="preserve"> </w:t>
            </w:r>
          </w:p>
        </w:tc>
        <w:tc>
          <w:tcPr>
            <w:tcW w:w="927"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2"/>
              <w:jc w:val="center"/>
              <w:rPr>
                <w:rFonts w:ascii="Arial" w:eastAsia="Arial" w:hAnsi="Arial" w:cs="Arial"/>
              </w:rPr>
            </w:pPr>
            <w:r w:rsidRPr="00314FA4">
              <w:rPr>
                <w:rFonts w:ascii="Arial" w:eastAsia="Arial" w:hAnsi="Arial" w:cs="Arial"/>
                <w:sz w:val="16"/>
              </w:rPr>
              <w:t xml:space="preserve">- </w:t>
            </w:r>
          </w:p>
        </w:tc>
        <w:tc>
          <w:tcPr>
            <w:tcW w:w="967"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4"/>
              <w:jc w:val="center"/>
              <w:rPr>
                <w:rFonts w:ascii="Arial" w:eastAsia="Arial" w:hAnsi="Arial" w:cs="Arial"/>
              </w:rPr>
            </w:pPr>
            <w:r w:rsidRPr="00314FA4">
              <w:rPr>
                <w:rFonts w:ascii="Arial" w:eastAsia="Arial" w:hAnsi="Arial" w:cs="Arial"/>
                <w:sz w:val="16"/>
              </w:rPr>
              <w:t xml:space="preserve">- </w:t>
            </w:r>
          </w:p>
        </w:tc>
        <w:tc>
          <w:tcPr>
            <w:tcW w:w="734"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885611" w:rsidRPr="00314FA4" w:rsidRDefault="00885611" w:rsidP="00885611">
            <w:pPr>
              <w:ind w:right="46"/>
              <w:jc w:val="center"/>
              <w:rPr>
                <w:rFonts w:ascii="Arial" w:eastAsia="Arial" w:hAnsi="Arial" w:cs="Arial"/>
              </w:rPr>
            </w:pPr>
            <w:r w:rsidRPr="00314FA4">
              <w:rPr>
                <w:rFonts w:ascii="Arial" w:eastAsia="Arial" w:hAnsi="Arial" w:cs="Arial"/>
                <w:sz w:val="16"/>
              </w:rPr>
              <w:t xml:space="preserve">- </w:t>
            </w:r>
          </w:p>
        </w:tc>
        <w:tc>
          <w:tcPr>
            <w:tcW w:w="710" w:type="dxa"/>
            <w:tcBorders>
              <w:top w:val="single" w:sz="2" w:space="0" w:color="95B3D7"/>
              <w:left w:val="single" w:sz="2" w:space="0" w:color="95B3D7"/>
              <w:bottom w:val="single" w:sz="2" w:space="0" w:color="95B3D7"/>
              <w:right w:val="single" w:sz="12" w:space="0" w:color="4F81BD"/>
            </w:tcBorders>
            <w:shd w:val="clear" w:color="auto" w:fill="DBE5F1"/>
            <w:vAlign w:val="center"/>
          </w:tcPr>
          <w:p w:rsidR="00885611" w:rsidRPr="00314FA4" w:rsidRDefault="00885611" w:rsidP="00885611">
            <w:pPr>
              <w:ind w:right="45"/>
              <w:jc w:val="center"/>
              <w:rPr>
                <w:rFonts w:ascii="Arial" w:eastAsia="Arial" w:hAnsi="Arial" w:cs="Arial"/>
              </w:rPr>
            </w:pPr>
            <w:r w:rsidRPr="00314FA4">
              <w:rPr>
                <w:rFonts w:ascii="Arial" w:eastAsia="Arial" w:hAnsi="Arial" w:cs="Arial"/>
                <w:sz w:val="16"/>
              </w:rPr>
              <w:t xml:space="preserve">- </w:t>
            </w:r>
          </w:p>
        </w:tc>
      </w:tr>
      <w:tr w:rsidR="00D74819" w:rsidRPr="00314FA4" w:rsidTr="00885611">
        <w:trPr>
          <w:trHeight w:val="411"/>
        </w:trPr>
        <w:tc>
          <w:tcPr>
            <w:tcW w:w="4383" w:type="dxa"/>
            <w:tcBorders>
              <w:top w:val="single" w:sz="2" w:space="0" w:color="95B3D7"/>
              <w:left w:val="single" w:sz="8" w:space="0" w:color="4F81BD"/>
              <w:bottom w:val="single" w:sz="8" w:space="0" w:color="4F81BD"/>
              <w:right w:val="single" w:sz="2" w:space="0" w:color="95B3D7"/>
            </w:tcBorders>
            <w:vAlign w:val="center"/>
          </w:tcPr>
          <w:p w:rsidR="00885611" w:rsidRPr="00314FA4" w:rsidRDefault="00885611" w:rsidP="00885611">
            <w:pPr>
              <w:rPr>
                <w:rFonts w:ascii="Arial" w:eastAsia="Arial" w:hAnsi="Arial" w:cs="Arial"/>
              </w:rPr>
            </w:pPr>
            <w:r w:rsidRPr="00314FA4">
              <w:rPr>
                <w:rFonts w:ascii="Arial" w:eastAsia="Arial" w:hAnsi="Arial" w:cs="Arial"/>
                <w:b/>
                <w:sz w:val="18"/>
              </w:rPr>
              <w:t xml:space="preserve">Stopa investiranja </w:t>
            </w:r>
          </w:p>
        </w:tc>
        <w:tc>
          <w:tcPr>
            <w:tcW w:w="1135" w:type="dxa"/>
            <w:tcBorders>
              <w:top w:val="single" w:sz="2" w:space="0" w:color="95B3D7"/>
              <w:left w:val="single" w:sz="2" w:space="0" w:color="95B3D7"/>
              <w:bottom w:val="single" w:sz="8" w:space="0" w:color="4F81BD"/>
              <w:right w:val="single" w:sz="2" w:space="0" w:color="95B3D7"/>
            </w:tcBorders>
            <w:vAlign w:val="center"/>
          </w:tcPr>
          <w:p w:rsidR="00885611" w:rsidRPr="00314FA4" w:rsidRDefault="00885611" w:rsidP="00885611">
            <w:pPr>
              <w:ind w:right="47"/>
              <w:jc w:val="right"/>
              <w:rPr>
                <w:rFonts w:ascii="Arial" w:eastAsia="Arial" w:hAnsi="Arial" w:cs="Arial"/>
              </w:rPr>
            </w:pPr>
            <w:r w:rsidRPr="00314FA4">
              <w:rPr>
                <w:rFonts w:ascii="Arial" w:eastAsia="Arial" w:hAnsi="Arial" w:cs="Arial"/>
                <w:sz w:val="16"/>
              </w:rPr>
              <w:t xml:space="preserve">15,4 </w:t>
            </w:r>
          </w:p>
        </w:tc>
        <w:tc>
          <w:tcPr>
            <w:tcW w:w="1133" w:type="dxa"/>
            <w:tcBorders>
              <w:top w:val="single" w:sz="2" w:space="0" w:color="95B3D7"/>
              <w:left w:val="single" w:sz="2" w:space="0" w:color="95B3D7"/>
              <w:bottom w:val="single" w:sz="8" w:space="0" w:color="4F81BD"/>
              <w:right w:val="single" w:sz="2" w:space="0" w:color="95B3D7"/>
            </w:tcBorders>
            <w:vAlign w:val="center"/>
          </w:tcPr>
          <w:p w:rsidR="00885611" w:rsidRPr="00314FA4" w:rsidRDefault="00885611" w:rsidP="00885611">
            <w:pPr>
              <w:ind w:right="46"/>
              <w:jc w:val="center"/>
              <w:rPr>
                <w:rFonts w:ascii="Arial" w:eastAsia="Arial" w:hAnsi="Arial" w:cs="Arial"/>
              </w:rPr>
            </w:pPr>
            <w:r w:rsidRPr="00314FA4">
              <w:rPr>
                <w:rFonts w:ascii="Arial" w:eastAsia="Arial" w:hAnsi="Arial" w:cs="Arial"/>
                <w:sz w:val="16"/>
              </w:rPr>
              <w:t xml:space="preserve">- </w:t>
            </w:r>
          </w:p>
        </w:tc>
        <w:tc>
          <w:tcPr>
            <w:tcW w:w="927" w:type="dxa"/>
            <w:tcBorders>
              <w:top w:val="single" w:sz="2" w:space="0" w:color="95B3D7"/>
              <w:left w:val="single" w:sz="2" w:space="0" w:color="95B3D7"/>
              <w:bottom w:val="single" w:sz="8" w:space="0" w:color="4F81BD"/>
              <w:right w:val="single" w:sz="2" w:space="0" w:color="95B3D7"/>
            </w:tcBorders>
            <w:vAlign w:val="center"/>
          </w:tcPr>
          <w:p w:rsidR="00885611" w:rsidRPr="00314FA4" w:rsidRDefault="00885611" w:rsidP="00885611">
            <w:pPr>
              <w:ind w:right="42"/>
              <w:jc w:val="center"/>
              <w:rPr>
                <w:rFonts w:ascii="Arial" w:eastAsia="Arial" w:hAnsi="Arial" w:cs="Arial"/>
              </w:rPr>
            </w:pPr>
            <w:r w:rsidRPr="00314FA4">
              <w:rPr>
                <w:rFonts w:ascii="Arial" w:eastAsia="Arial" w:hAnsi="Arial" w:cs="Arial"/>
                <w:sz w:val="16"/>
              </w:rPr>
              <w:t xml:space="preserve">- </w:t>
            </w:r>
          </w:p>
        </w:tc>
        <w:tc>
          <w:tcPr>
            <w:tcW w:w="967" w:type="dxa"/>
            <w:tcBorders>
              <w:top w:val="single" w:sz="2" w:space="0" w:color="95B3D7"/>
              <w:left w:val="single" w:sz="2" w:space="0" w:color="95B3D7"/>
              <w:bottom w:val="single" w:sz="8" w:space="0" w:color="4F81BD"/>
              <w:right w:val="single" w:sz="2" w:space="0" w:color="95B3D7"/>
            </w:tcBorders>
            <w:vAlign w:val="center"/>
          </w:tcPr>
          <w:p w:rsidR="00885611" w:rsidRPr="00314FA4" w:rsidRDefault="00885611" w:rsidP="00885611">
            <w:pPr>
              <w:ind w:right="44"/>
              <w:jc w:val="center"/>
              <w:rPr>
                <w:rFonts w:ascii="Arial" w:eastAsia="Arial" w:hAnsi="Arial" w:cs="Arial"/>
              </w:rPr>
            </w:pPr>
            <w:r w:rsidRPr="00314FA4">
              <w:rPr>
                <w:rFonts w:ascii="Arial" w:eastAsia="Arial" w:hAnsi="Arial" w:cs="Arial"/>
                <w:sz w:val="16"/>
              </w:rPr>
              <w:t xml:space="preserve">- </w:t>
            </w:r>
          </w:p>
        </w:tc>
        <w:tc>
          <w:tcPr>
            <w:tcW w:w="734" w:type="dxa"/>
            <w:tcBorders>
              <w:top w:val="single" w:sz="2" w:space="0" w:color="95B3D7"/>
              <w:left w:val="single" w:sz="2" w:space="0" w:color="95B3D7"/>
              <w:bottom w:val="single" w:sz="8" w:space="0" w:color="4F81BD"/>
              <w:right w:val="single" w:sz="2" w:space="0" w:color="95B3D7"/>
            </w:tcBorders>
            <w:vAlign w:val="center"/>
          </w:tcPr>
          <w:p w:rsidR="00885611" w:rsidRPr="00314FA4" w:rsidRDefault="00885611" w:rsidP="00885611">
            <w:pPr>
              <w:ind w:right="46"/>
              <w:jc w:val="center"/>
              <w:rPr>
                <w:rFonts w:ascii="Arial" w:eastAsia="Arial" w:hAnsi="Arial" w:cs="Arial"/>
              </w:rPr>
            </w:pPr>
            <w:r w:rsidRPr="00314FA4">
              <w:rPr>
                <w:rFonts w:ascii="Arial" w:eastAsia="Arial" w:hAnsi="Arial" w:cs="Arial"/>
                <w:sz w:val="16"/>
              </w:rPr>
              <w:t xml:space="preserve">- </w:t>
            </w:r>
          </w:p>
        </w:tc>
        <w:tc>
          <w:tcPr>
            <w:tcW w:w="710" w:type="dxa"/>
            <w:tcBorders>
              <w:top w:val="single" w:sz="2" w:space="0" w:color="95B3D7"/>
              <w:left w:val="single" w:sz="2" w:space="0" w:color="95B3D7"/>
              <w:bottom w:val="single" w:sz="8" w:space="0" w:color="4F81BD"/>
              <w:right w:val="single" w:sz="12" w:space="0" w:color="4F81BD"/>
            </w:tcBorders>
            <w:vAlign w:val="center"/>
          </w:tcPr>
          <w:p w:rsidR="00885611" w:rsidRPr="00314FA4" w:rsidRDefault="00885611" w:rsidP="00885611">
            <w:pPr>
              <w:ind w:right="45"/>
              <w:jc w:val="center"/>
              <w:rPr>
                <w:rFonts w:ascii="Arial" w:eastAsia="Arial" w:hAnsi="Arial" w:cs="Arial"/>
              </w:rPr>
            </w:pPr>
            <w:r w:rsidRPr="00314FA4">
              <w:rPr>
                <w:rFonts w:ascii="Arial" w:eastAsia="Arial" w:hAnsi="Arial" w:cs="Arial"/>
                <w:sz w:val="16"/>
              </w:rPr>
              <w:t xml:space="preserve">- </w:t>
            </w:r>
          </w:p>
        </w:tc>
      </w:tr>
    </w:tbl>
    <w:p w:rsidR="009401B7" w:rsidRPr="00314FA4" w:rsidRDefault="009401B7" w:rsidP="00BC6EE8">
      <w:pPr>
        <w:spacing w:after="0" w:line="240" w:lineRule="auto"/>
        <w:rPr>
          <w:rFonts w:ascii="Ebrima" w:eastAsia="Times New Roman" w:hAnsi="Ebrima" w:cs="Times New Roman"/>
          <w:b/>
          <w:sz w:val="24"/>
          <w:szCs w:val="24"/>
          <w:lang w:val="hr-HR"/>
        </w:rPr>
      </w:pPr>
    </w:p>
    <w:p w:rsidR="00BC6EE8" w:rsidRPr="00314FA4" w:rsidRDefault="00BC6EE8" w:rsidP="00BC6EE8">
      <w:pPr>
        <w:spacing w:after="0" w:line="240" w:lineRule="auto"/>
        <w:rPr>
          <w:rFonts w:ascii="Ebrima" w:eastAsia="Times New Roman" w:hAnsi="Ebrima" w:cs="Times New Roman"/>
          <w:b/>
          <w:sz w:val="24"/>
          <w:szCs w:val="24"/>
          <w:lang w:val="hr-HR"/>
        </w:rPr>
      </w:pPr>
      <w:r w:rsidRPr="00314FA4">
        <w:rPr>
          <w:rFonts w:ascii="Ebrima" w:eastAsia="Times New Roman" w:hAnsi="Ebrima" w:cs="Times New Roman"/>
          <w:b/>
          <w:sz w:val="24"/>
          <w:szCs w:val="24"/>
          <w:lang w:val="hr-HR"/>
        </w:rPr>
        <w:t>BOSANSKO-PODRINJSKI KANTON GORAŽDE</w:t>
      </w:r>
    </w:p>
    <w:p w:rsidR="00406A60" w:rsidRPr="00314FA4" w:rsidRDefault="00406A60" w:rsidP="00406A60">
      <w:pPr>
        <w:pStyle w:val="NormalWeb"/>
        <w:shd w:val="clear" w:color="auto" w:fill="FFFFFF"/>
        <w:spacing w:before="120" w:beforeAutospacing="0" w:after="120" w:afterAutospacing="0"/>
        <w:jc w:val="both"/>
        <w:rPr>
          <w:rFonts w:ascii="Ebrima" w:hAnsi="Ebrima" w:cs="Arial"/>
        </w:rPr>
      </w:pPr>
      <w:r w:rsidRPr="00314FA4">
        <w:rPr>
          <w:rFonts w:ascii="Ebrima" w:hAnsi="Ebrima" w:cs="Arial"/>
        </w:rPr>
        <w:t>Arheološka iskopavanja potvrđuju da je područje Bosansko-podrinjskog kantona Goražde bilo naseljeno tokom kamenog doba i rimskog perioda. U srednjem vijeku grad Goražde se prvi put spominje </w:t>
      </w:r>
      <w:hyperlink r:id="rId23" w:tooltip="1379" w:history="1">
        <w:r w:rsidRPr="00314FA4">
          <w:rPr>
            <w:rStyle w:val="Hyperlink"/>
            <w:rFonts w:ascii="Ebrima" w:hAnsi="Ebrima" w:cs="Arial"/>
            <w:color w:val="auto"/>
            <w:u w:val="none"/>
          </w:rPr>
          <w:t>1379</w:t>
        </w:r>
      </w:hyperlink>
      <w:r w:rsidRPr="00314FA4">
        <w:rPr>
          <w:rFonts w:ascii="Ebrima" w:hAnsi="Ebrima" w:cs="Arial"/>
        </w:rPr>
        <w:t>. godine.</w:t>
      </w:r>
      <w:hyperlink r:id="rId24" w:anchor="cite_note-1" w:history="1">
        <w:r w:rsidRPr="00314FA4">
          <w:rPr>
            <w:rStyle w:val="Hyperlink"/>
            <w:rFonts w:ascii="Ebrima" w:hAnsi="Ebrima" w:cs="Arial"/>
            <w:color w:val="auto"/>
            <w:u w:val="none"/>
          </w:rPr>
          <w:t>[1]</w:t>
        </w:r>
      </w:hyperlink>
      <w:hyperlink r:id="rId25" w:anchor="cite_note-2" w:history="1">
        <w:r w:rsidRPr="00314FA4">
          <w:rPr>
            <w:rStyle w:val="Hyperlink"/>
            <w:rFonts w:ascii="Ebrima" w:hAnsi="Ebrima" w:cs="Arial"/>
            <w:color w:val="auto"/>
            <w:u w:val="none"/>
          </w:rPr>
          <w:t>[2]</w:t>
        </w:r>
      </w:hyperlink>
      <w:r w:rsidRPr="00314FA4">
        <w:rPr>
          <w:rFonts w:ascii="Ebrima" w:hAnsi="Ebrima" w:cs="Arial"/>
        </w:rPr>
        <w:t> U okolini Goražda se nalaze mnogi </w:t>
      </w:r>
      <w:hyperlink r:id="rId26" w:tooltip="Stećci" w:history="1">
        <w:r w:rsidRPr="00314FA4">
          <w:rPr>
            <w:rStyle w:val="Hyperlink"/>
            <w:rFonts w:ascii="Ebrima" w:hAnsi="Ebrima" w:cs="Arial"/>
            <w:color w:val="auto"/>
            <w:u w:val="none"/>
          </w:rPr>
          <w:t>stećci</w:t>
        </w:r>
      </w:hyperlink>
      <w:r w:rsidRPr="00314FA4">
        <w:rPr>
          <w:rFonts w:ascii="Ebrima" w:hAnsi="Ebrima" w:cs="Arial"/>
        </w:rPr>
        <w:t> iz ovih doba.</w:t>
      </w:r>
    </w:p>
    <w:p w:rsidR="00406A60" w:rsidRPr="00314FA4" w:rsidRDefault="00073C1B" w:rsidP="00406A60">
      <w:pPr>
        <w:pStyle w:val="NormalWeb"/>
        <w:shd w:val="clear" w:color="auto" w:fill="FFFFFF"/>
        <w:spacing w:before="120" w:beforeAutospacing="0" w:after="120" w:afterAutospacing="0"/>
        <w:jc w:val="both"/>
        <w:rPr>
          <w:rFonts w:ascii="Ebrima" w:hAnsi="Ebrima" w:cs="Arial"/>
        </w:rPr>
      </w:pPr>
      <w:hyperlink r:id="rId27" w:tooltip="Osmanlijsko carstvo" w:history="1">
        <w:r w:rsidR="00406A60" w:rsidRPr="00314FA4">
          <w:rPr>
            <w:rStyle w:val="Hyperlink"/>
            <w:rFonts w:ascii="Ebrima" w:hAnsi="Ebrima" w:cs="Arial"/>
            <w:color w:val="auto"/>
            <w:u w:val="none"/>
          </w:rPr>
          <w:t>Osmanlije</w:t>
        </w:r>
      </w:hyperlink>
      <w:r w:rsidR="00406A60" w:rsidRPr="00314FA4">
        <w:rPr>
          <w:rFonts w:ascii="Ebrima" w:hAnsi="Ebrima" w:cs="Arial"/>
        </w:rPr>
        <w:t> su osvojili područje </w:t>
      </w:r>
      <w:hyperlink r:id="rId28" w:tooltip="1465" w:history="1">
        <w:r w:rsidR="00406A60" w:rsidRPr="00314FA4">
          <w:rPr>
            <w:rStyle w:val="Hyperlink"/>
            <w:rFonts w:ascii="Ebrima" w:hAnsi="Ebrima" w:cs="Arial"/>
            <w:color w:val="auto"/>
            <w:u w:val="none"/>
          </w:rPr>
          <w:t>1465</w:t>
        </w:r>
      </w:hyperlink>
      <w:r w:rsidR="00406A60" w:rsidRPr="00314FA4">
        <w:rPr>
          <w:rFonts w:ascii="Ebrima" w:hAnsi="Ebrima" w:cs="Arial"/>
        </w:rPr>
        <w:t>. godine i drže ga do </w:t>
      </w:r>
      <w:hyperlink r:id="rId29" w:tooltip="1878" w:history="1">
        <w:r w:rsidR="00406A60" w:rsidRPr="00314FA4">
          <w:rPr>
            <w:rStyle w:val="Hyperlink"/>
            <w:rFonts w:ascii="Ebrima" w:hAnsi="Ebrima" w:cs="Arial"/>
            <w:color w:val="auto"/>
            <w:u w:val="none"/>
          </w:rPr>
          <w:t>1878</w:t>
        </w:r>
      </w:hyperlink>
      <w:r w:rsidR="00406A60" w:rsidRPr="00314FA4">
        <w:rPr>
          <w:rFonts w:ascii="Ebrima" w:hAnsi="Ebrima" w:cs="Arial"/>
        </w:rPr>
        <w:t>. godine i </w:t>
      </w:r>
      <w:hyperlink r:id="rId30" w:tooltip="Austro-Ugarska" w:history="1">
        <w:r w:rsidR="00406A60" w:rsidRPr="00314FA4">
          <w:rPr>
            <w:rStyle w:val="Hyperlink"/>
            <w:rFonts w:ascii="Ebrima" w:hAnsi="Ebrima" w:cs="Arial"/>
            <w:color w:val="auto"/>
            <w:u w:val="none"/>
          </w:rPr>
          <w:t>Austro-Ugarske</w:t>
        </w:r>
      </w:hyperlink>
      <w:r w:rsidR="00406A60" w:rsidRPr="00314FA4">
        <w:rPr>
          <w:rFonts w:ascii="Ebrima" w:hAnsi="Ebrima" w:cs="Arial"/>
        </w:rPr>
        <w:t> okupacije. Tokom </w:t>
      </w:r>
      <w:hyperlink r:id="rId31" w:tooltip="Prvi svjetski rat" w:history="1">
        <w:r w:rsidR="00406A60" w:rsidRPr="00314FA4">
          <w:rPr>
            <w:rStyle w:val="Hyperlink"/>
            <w:rFonts w:ascii="Ebrima" w:hAnsi="Ebrima" w:cs="Arial"/>
            <w:color w:val="auto"/>
            <w:u w:val="none"/>
          </w:rPr>
          <w:t>Prvog</w:t>
        </w:r>
      </w:hyperlink>
      <w:r w:rsidR="00406A60" w:rsidRPr="00314FA4">
        <w:rPr>
          <w:rFonts w:ascii="Ebrima" w:hAnsi="Ebrima" w:cs="Arial"/>
        </w:rPr>
        <w:t> i </w:t>
      </w:r>
      <w:hyperlink r:id="rId32" w:tooltip="Drugi svjetski rat" w:history="1">
        <w:r w:rsidR="00406A60" w:rsidRPr="00314FA4">
          <w:rPr>
            <w:rStyle w:val="Hyperlink"/>
            <w:rFonts w:ascii="Ebrima" w:hAnsi="Ebrima" w:cs="Arial"/>
            <w:color w:val="auto"/>
            <w:u w:val="none"/>
          </w:rPr>
          <w:t>Drugog svjetskog rata</w:t>
        </w:r>
      </w:hyperlink>
      <w:r w:rsidR="00406A60" w:rsidRPr="00314FA4">
        <w:rPr>
          <w:rFonts w:ascii="Ebrima" w:hAnsi="Ebrima" w:cs="Arial"/>
        </w:rPr>
        <w:t>, masovno je stradalo uglavnom muslimansko stanovništvo. Nakon završetka Drugog svjetskog rata područje Bosansko-podrinjskog kantona Goražde postaje dio jugoistočne regije Bosne i Hercegovine i njen administrativni, privredni i kulturni centar.</w:t>
      </w:r>
    </w:p>
    <w:p w:rsidR="00406A60" w:rsidRPr="00314FA4" w:rsidRDefault="00406A60" w:rsidP="00406A60">
      <w:pPr>
        <w:pStyle w:val="NormalWeb"/>
        <w:shd w:val="clear" w:color="auto" w:fill="FFFFFF"/>
        <w:spacing w:before="120" w:beforeAutospacing="0" w:after="120" w:afterAutospacing="0"/>
        <w:jc w:val="both"/>
        <w:rPr>
          <w:rFonts w:ascii="Ebrima" w:hAnsi="Ebrima" w:cs="Arial"/>
        </w:rPr>
      </w:pPr>
      <w:r w:rsidRPr="00314FA4">
        <w:rPr>
          <w:rFonts w:ascii="Ebrima" w:hAnsi="Ebrima" w:cs="Arial"/>
        </w:rPr>
        <w:t>Prije </w:t>
      </w:r>
      <w:hyperlink r:id="rId33" w:tooltip="Rat u Bosni i Hercegovini" w:history="1">
        <w:r w:rsidRPr="00314FA4">
          <w:rPr>
            <w:rStyle w:val="Hyperlink"/>
            <w:rFonts w:ascii="Ebrima" w:hAnsi="Ebrima" w:cs="Arial"/>
            <w:color w:val="auto"/>
            <w:u w:val="none"/>
          </w:rPr>
          <w:t>rata u Bosni i Hercegovini</w:t>
        </w:r>
      </w:hyperlink>
      <w:r w:rsidRPr="00314FA4">
        <w:rPr>
          <w:rFonts w:ascii="Ebrima" w:hAnsi="Ebrima" w:cs="Arial"/>
        </w:rPr>
        <w:t>, današnja općina </w:t>
      </w:r>
      <w:hyperlink r:id="rId34" w:tooltip="Ustiprača" w:history="1">
        <w:r w:rsidRPr="00314FA4">
          <w:rPr>
            <w:rStyle w:val="Hyperlink"/>
            <w:rFonts w:ascii="Ebrima" w:hAnsi="Ebrima" w:cs="Arial"/>
            <w:color w:val="auto"/>
            <w:u w:val="none"/>
          </w:rPr>
          <w:t>Ustiprača</w:t>
        </w:r>
      </w:hyperlink>
      <w:r w:rsidRPr="00314FA4">
        <w:rPr>
          <w:rFonts w:ascii="Ebrima" w:hAnsi="Ebrima" w:cs="Arial"/>
        </w:rPr>
        <w:t> u Republici Srpskoj pripadala je Goraždu, dok su današnje općine </w:t>
      </w:r>
      <w:hyperlink r:id="rId35" w:tooltip="Pale-Prača" w:history="1">
        <w:r w:rsidRPr="00314FA4">
          <w:rPr>
            <w:rStyle w:val="Hyperlink"/>
            <w:rFonts w:ascii="Ebrima" w:hAnsi="Ebrima" w:cs="Arial"/>
            <w:color w:val="auto"/>
            <w:u w:val="none"/>
          </w:rPr>
          <w:t>Pale-Prača</w:t>
        </w:r>
      </w:hyperlink>
      <w:r w:rsidRPr="00314FA4">
        <w:rPr>
          <w:rFonts w:ascii="Ebrima" w:hAnsi="Ebrima" w:cs="Arial"/>
        </w:rPr>
        <w:t> i </w:t>
      </w:r>
      <w:hyperlink r:id="rId36" w:tooltip="Foča-Ustikolina" w:history="1">
        <w:r w:rsidRPr="00314FA4">
          <w:rPr>
            <w:rStyle w:val="Hyperlink"/>
            <w:rFonts w:ascii="Ebrima" w:hAnsi="Ebrima" w:cs="Arial"/>
            <w:color w:val="auto"/>
            <w:u w:val="none"/>
          </w:rPr>
          <w:t>Foča-Ustikolina</w:t>
        </w:r>
      </w:hyperlink>
      <w:r w:rsidRPr="00314FA4">
        <w:rPr>
          <w:rFonts w:ascii="Ebrima" w:hAnsi="Ebrima" w:cs="Arial"/>
        </w:rPr>
        <w:t> pripadali Palama i Foči u Republici Srpskoj. Nakon </w:t>
      </w:r>
      <w:hyperlink r:id="rId37" w:tooltip="Dejtonski sporazum" w:history="1">
        <w:r w:rsidRPr="00314FA4">
          <w:rPr>
            <w:rStyle w:val="Hyperlink"/>
            <w:rFonts w:ascii="Ebrima" w:hAnsi="Ebrima" w:cs="Arial"/>
            <w:color w:val="auto"/>
            <w:u w:val="none"/>
          </w:rPr>
          <w:t>dejtonskog sporazuma</w:t>
        </w:r>
      </w:hyperlink>
      <w:r w:rsidRPr="00314FA4">
        <w:rPr>
          <w:rFonts w:ascii="Ebrima" w:hAnsi="Ebrima" w:cs="Arial"/>
        </w:rPr>
        <w:t> Goražde je postao centar Goražde-Podrinjskog kantona. </w:t>
      </w:r>
      <w:hyperlink r:id="rId38" w:tooltip="2001" w:history="1">
        <w:r w:rsidRPr="00314FA4">
          <w:rPr>
            <w:rStyle w:val="Hyperlink"/>
            <w:rFonts w:ascii="Ebrima" w:hAnsi="Ebrima" w:cs="Arial"/>
            <w:color w:val="auto"/>
            <w:u w:val="none"/>
          </w:rPr>
          <w:t>2001</w:t>
        </w:r>
      </w:hyperlink>
      <w:r w:rsidRPr="00314FA4">
        <w:rPr>
          <w:rFonts w:ascii="Ebrima" w:hAnsi="Ebrima" w:cs="Arial"/>
        </w:rPr>
        <w:t>. godine naziv je promijenjen u Bosansko-podrinjski kanton Goražde.</w:t>
      </w:r>
    </w:p>
    <w:p w:rsidR="00A47CD5" w:rsidRPr="00314FA4" w:rsidRDefault="00BC6EE8" w:rsidP="00D802C6">
      <w:pPr>
        <w:keepNext/>
        <w:spacing w:after="0" w:line="240" w:lineRule="auto"/>
        <w:jc w:val="both"/>
        <w:rPr>
          <w:rFonts w:ascii="Ebrima" w:eastAsia="Times New Roman" w:hAnsi="Ebrima" w:cs="Times New Roman"/>
          <w:sz w:val="24"/>
          <w:szCs w:val="24"/>
          <w:lang w:val="hr-HR"/>
        </w:rPr>
      </w:pPr>
      <w:r w:rsidRPr="00314FA4">
        <w:rPr>
          <w:rFonts w:ascii="Ebrima" w:eastAsia="Times New Roman" w:hAnsi="Ebrima" w:cs="Times New Roman"/>
          <w:bCs/>
          <w:iCs/>
          <w:sz w:val="24"/>
          <w:szCs w:val="24"/>
          <w:lang w:val="hr-HR"/>
        </w:rPr>
        <w:lastRenderedPageBreak/>
        <w:t xml:space="preserve">BPK Goražde je najmanji od 10 kantona – federalnih administrativnh jedinica – u sastavu Federacije Bosne i Hercegovine (FBiH). Prostire se na površini od 504,6 km² i ima veoma povoljan konfigurativni geografski položaj koji se proteže po istočnim padinama Jahorine, Borovca i Kleka, na prosječnoj </w:t>
      </w:r>
      <w:r w:rsidRPr="00314FA4">
        <w:rPr>
          <w:rFonts w:ascii="Ebrima" w:eastAsia="Times New Roman" w:hAnsi="Ebrima" w:cs="Times New Roman"/>
          <w:sz w:val="24"/>
          <w:szCs w:val="24"/>
          <w:lang w:val="hr-HR"/>
        </w:rPr>
        <w:t xml:space="preserve"> nadmorskoj visini od 345 metara (Goražde)</w:t>
      </w:r>
      <w:r w:rsidRPr="00314FA4">
        <w:rPr>
          <w:rFonts w:ascii="Ebrima" w:eastAsia="Times New Roman" w:hAnsi="Ebrima" w:cs="Times New Roman"/>
          <w:bCs/>
          <w:iCs/>
          <w:sz w:val="24"/>
          <w:szCs w:val="24"/>
          <w:vertAlign w:val="superscript"/>
          <w:lang w:val="hr-HR"/>
        </w:rPr>
        <w:t xml:space="preserve"> </w:t>
      </w:r>
      <w:r w:rsidRPr="00314FA4">
        <w:rPr>
          <w:rFonts w:ascii="Ebrima" w:eastAsia="Times New Roman" w:hAnsi="Ebrima" w:cs="Times New Roman"/>
          <w:bCs/>
          <w:iCs/>
          <w:sz w:val="24"/>
          <w:szCs w:val="24"/>
          <w:vertAlign w:val="superscript"/>
          <w:lang w:val="hr-HR"/>
        </w:rPr>
        <w:footnoteReference w:id="4"/>
      </w:r>
      <w:r w:rsidRPr="00314FA4">
        <w:rPr>
          <w:rFonts w:ascii="Ebrima" w:eastAsia="Times New Roman" w:hAnsi="Ebrima" w:cs="Times New Roman"/>
          <w:bCs/>
          <w:iCs/>
          <w:sz w:val="24"/>
          <w:szCs w:val="24"/>
          <w:vertAlign w:val="superscript"/>
          <w:lang w:val="hr-HR"/>
        </w:rPr>
        <w:footnoteReference w:id="5"/>
      </w:r>
      <w:r w:rsidRPr="00314FA4">
        <w:rPr>
          <w:rFonts w:ascii="Ebrima" w:eastAsia="Times New Roman" w:hAnsi="Ebrima" w:cs="Times New Roman"/>
          <w:sz w:val="24"/>
          <w:szCs w:val="24"/>
          <w:lang w:val="hr-HR"/>
        </w:rPr>
        <w:t xml:space="preserve">, što uslovljava blagu, kontinentalnu klimu, kratke zime </w:t>
      </w:r>
      <w:r w:rsidR="00A47CD5" w:rsidRPr="00314FA4">
        <w:rPr>
          <w:rFonts w:ascii="Ebrima" w:eastAsia="Times New Roman" w:hAnsi="Ebrima" w:cs="Times New Roman"/>
          <w:sz w:val="24"/>
          <w:szCs w:val="24"/>
          <w:lang w:val="hr-HR"/>
        </w:rPr>
        <w:t>i topla duga ljeta.</w:t>
      </w:r>
    </w:p>
    <w:p w:rsidR="00A47CD5" w:rsidRPr="00314FA4" w:rsidRDefault="00A47CD5" w:rsidP="00D802C6">
      <w:pPr>
        <w:keepNext/>
        <w:spacing w:after="0" w:line="240" w:lineRule="auto"/>
        <w:jc w:val="both"/>
        <w:rPr>
          <w:rFonts w:ascii="Ebrima" w:eastAsia="Times New Roman" w:hAnsi="Ebrima" w:cs="Times New Roman"/>
          <w:sz w:val="24"/>
          <w:szCs w:val="24"/>
          <w:lang w:val="hr-HR"/>
        </w:rPr>
      </w:pPr>
    </w:p>
    <w:p w:rsidR="009401B7" w:rsidRPr="00314FA4" w:rsidRDefault="00EB1386" w:rsidP="00EB1386">
      <w:pPr>
        <w:keepNext/>
        <w:tabs>
          <w:tab w:val="left" w:pos="7065"/>
        </w:tabs>
        <w:spacing w:after="0" w:line="240" w:lineRule="auto"/>
        <w:jc w:val="both"/>
        <w:rPr>
          <w:rFonts w:ascii="Ebrima" w:eastAsia="Times New Roman" w:hAnsi="Ebrima" w:cs="Calibri"/>
          <w:b/>
          <w:sz w:val="24"/>
          <w:szCs w:val="24"/>
          <w:lang w:val="hr-HR"/>
        </w:rPr>
      </w:pPr>
      <w:r w:rsidRPr="00314FA4">
        <w:rPr>
          <w:rFonts w:ascii="Ebrima" w:eastAsia="Times New Roman" w:hAnsi="Ebrima" w:cs="Calibri"/>
          <w:b/>
          <w:sz w:val="24"/>
          <w:szCs w:val="24"/>
          <w:lang w:val="hr-HR"/>
        </w:rPr>
        <w:tab/>
      </w:r>
    </w:p>
    <w:p w:rsidR="00BC6EE8" w:rsidRPr="00314FA4" w:rsidRDefault="00BC6EE8" w:rsidP="00D802C6">
      <w:pPr>
        <w:keepNext/>
        <w:spacing w:after="0" w:line="240" w:lineRule="auto"/>
        <w:jc w:val="both"/>
        <w:rPr>
          <w:rFonts w:ascii="Ebrima" w:eastAsia="Times New Roman" w:hAnsi="Ebrima" w:cs="Times New Roman"/>
          <w:sz w:val="24"/>
          <w:szCs w:val="24"/>
          <w:lang w:val="hr-HR"/>
        </w:rPr>
      </w:pPr>
      <w:r w:rsidRPr="00314FA4">
        <w:rPr>
          <w:rFonts w:ascii="Ebrima" w:eastAsia="Times New Roman" w:hAnsi="Ebrima" w:cs="Calibri"/>
          <w:b/>
          <w:sz w:val="24"/>
          <w:szCs w:val="24"/>
          <w:lang w:val="hr-HR"/>
        </w:rPr>
        <w:t xml:space="preserve">Tabela </w:t>
      </w:r>
      <w:r w:rsidRPr="00314FA4">
        <w:rPr>
          <w:rFonts w:ascii="Ebrima" w:eastAsia="Times New Roman" w:hAnsi="Ebrima" w:cs="Calibri"/>
          <w:b/>
          <w:sz w:val="24"/>
          <w:szCs w:val="24"/>
          <w:lang w:val="hr-HR"/>
        </w:rPr>
        <w:fldChar w:fldCharType="begin"/>
      </w:r>
      <w:r w:rsidRPr="00314FA4">
        <w:rPr>
          <w:rFonts w:ascii="Ebrima" w:eastAsia="Times New Roman" w:hAnsi="Ebrima" w:cs="Calibri"/>
          <w:b/>
          <w:sz w:val="24"/>
          <w:szCs w:val="24"/>
          <w:lang w:val="hr-HR"/>
        </w:rPr>
        <w:instrText xml:space="preserve"> SEQ Tabela \* ARABIC </w:instrText>
      </w:r>
      <w:r w:rsidRPr="00314FA4">
        <w:rPr>
          <w:rFonts w:ascii="Ebrima" w:eastAsia="Times New Roman" w:hAnsi="Ebrima" w:cs="Calibri"/>
          <w:b/>
          <w:sz w:val="24"/>
          <w:szCs w:val="24"/>
          <w:lang w:val="hr-HR"/>
        </w:rPr>
        <w:fldChar w:fldCharType="separate"/>
      </w:r>
      <w:r w:rsidR="00EB1386" w:rsidRPr="00314FA4">
        <w:rPr>
          <w:rFonts w:ascii="Ebrima" w:eastAsia="Times New Roman" w:hAnsi="Ebrima" w:cs="Calibri"/>
          <w:b/>
          <w:noProof/>
          <w:sz w:val="24"/>
          <w:szCs w:val="24"/>
          <w:lang w:val="hr-HR"/>
        </w:rPr>
        <w:t>1</w:t>
      </w:r>
      <w:r w:rsidRPr="00314FA4">
        <w:rPr>
          <w:rFonts w:ascii="Ebrima" w:eastAsia="Times New Roman" w:hAnsi="Ebrima" w:cs="Calibri"/>
          <w:b/>
          <w:sz w:val="24"/>
          <w:szCs w:val="24"/>
          <w:lang w:val="hr-HR"/>
        </w:rPr>
        <w:fldChar w:fldCharType="end"/>
      </w:r>
      <w:r w:rsidRPr="00314FA4">
        <w:rPr>
          <w:rFonts w:ascii="Ebrima" w:eastAsia="Times New Roman" w:hAnsi="Ebrima" w:cs="Calibri"/>
          <w:b/>
          <w:bCs/>
          <w:sz w:val="24"/>
          <w:szCs w:val="24"/>
          <w:lang w:val="hr-HR"/>
        </w:rPr>
        <w:t>: Ključni  pokazatelji BPK Goražde</w:t>
      </w:r>
    </w:p>
    <w:tbl>
      <w:tblPr>
        <w:tblpPr w:leftFromText="180" w:rightFromText="180" w:vertAnchor="text" w:horzAnchor="margin" w:tblpXSpec="right" w:tblpY="89"/>
        <w:tblW w:w="3343"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000" w:firstRow="0" w:lastRow="0" w:firstColumn="0" w:lastColumn="0" w:noHBand="0" w:noVBand="0"/>
      </w:tblPr>
      <w:tblGrid>
        <w:gridCol w:w="3272"/>
        <w:gridCol w:w="1914"/>
        <w:gridCol w:w="1068"/>
      </w:tblGrid>
      <w:tr w:rsidR="00D74819" w:rsidRPr="00314FA4" w:rsidTr="00D802C6">
        <w:trPr>
          <w:trHeight w:hRule="exact" w:val="711"/>
        </w:trPr>
        <w:tc>
          <w:tcPr>
            <w:tcW w:w="2616" w:type="pct"/>
            <w:vMerge w:val="restart"/>
            <w:shd w:val="clear" w:color="auto" w:fill="C9C9C9"/>
            <w:vAlign w:val="center"/>
          </w:tcPr>
          <w:p w:rsidR="00BC6EE8" w:rsidRPr="00314FA4" w:rsidRDefault="009A70C5" w:rsidP="00BC6EE8">
            <w:pPr>
              <w:widowControl w:val="0"/>
              <w:kinsoku w:val="0"/>
              <w:overflowPunct w:val="0"/>
              <w:autoSpaceDE w:val="0"/>
              <w:autoSpaceDN w:val="0"/>
              <w:adjustRightInd w:val="0"/>
              <w:spacing w:after="0" w:line="240" w:lineRule="auto"/>
              <w:ind w:left="57" w:right="57"/>
              <w:rPr>
                <w:rFonts w:ascii="Ebrima" w:eastAsia="Times New Roman" w:hAnsi="Ebrima" w:cs="Times New Roman"/>
                <w:b/>
                <w:sz w:val="24"/>
                <w:szCs w:val="24"/>
                <w:lang w:val="hr-HR" w:eastAsia="bs-Latn-BA"/>
              </w:rPr>
            </w:pPr>
            <w:r w:rsidRPr="00314FA4">
              <w:rPr>
                <w:rFonts w:ascii="Ebrima" w:eastAsia="Times New Roman" w:hAnsi="Ebrima" w:cs="Times New Roman"/>
                <w:noProof/>
                <w:sz w:val="24"/>
                <w:szCs w:val="24"/>
              </w:rPr>
              <w:drawing>
                <wp:inline distT="0" distB="0" distL="0" distR="0" wp14:anchorId="194E1628" wp14:editId="63B4B6AC">
                  <wp:extent cx="1905000" cy="2095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_05[1].gif"/>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905000" cy="2095500"/>
                          </a:xfrm>
                          <a:prstGeom prst="rect">
                            <a:avLst/>
                          </a:prstGeom>
                        </pic:spPr>
                      </pic:pic>
                    </a:graphicData>
                  </a:graphic>
                </wp:inline>
              </w:drawing>
            </w:r>
          </w:p>
        </w:tc>
        <w:tc>
          <w:tcPr>
            <w:tcW w:w="1530" w:type="pct"/>
            <w:shd w:val="clear" w:color="auto" w:fill="C9C9C9"/>
            <w:vAlign w:val="center"/>
          </w:tcPr>
          <w:p w:rsidR="00BC6EE8" w:rsidRPr="00314FA4" w:rsidRDefault="00BC6EE8" w:rsidP="00BC6EE8">
            <w:pPr>
              <w:widowControl w:val="0"/>
              <w:kinsoku w:val="0"/>
              <w:overflowPunct w:val="0"/>
              <w:autoSpaceDE w:val="0"/>
              <w:autoSpaceDN w:val="0"/>
              <w:adjustRightInd w:val="0"/>
              <w:spacing w:after="0" w:line="240" w:lineRule="auto"/>
              <w:ind w:left="57" w:right="57"/>
              <w:rPr>
                <w:rFonts w:ascii="Ebrima" w:eastAsia="Times New Roman" w:hAnsi="Ebrima" w:cs="Times New Roman"/>
                <w:b/>
                <w:sz w:val="24"/>
                <w:szCs w:val="24"/>
                <w:lang w:val="hr-HR" w:eastAsia="bs-Latn-BA"/>
              </w:rPr>
            </w:pPr>
            <w:r w:rsidRPr="00314FA4">
              <w:rPr>
                <w:rFonts w:ascii="Ebrima" w:eastAsia="Times New Roman" w:hAnsi="Ebrima" w:cs="Times New Roman"/>
                <w:b/>
                <w:bCs/>
                <w:spacing w:val="-1"/>
                <w:sz w:val="24"/>
                <w:szCs w:val="24"/>
                <w:lang w:val="hr-HR" w:eastAsia="bs-Latn-BA"/>
              </w:rPr>
              <w:t xml:space="preserve">Ključni </w:t>
            </w:r>
            <w:r w:rsidRPr="00314FA4">
              <w:rPr>
                <w:rFonts w:ascii="Ebrima" w:eastAsia="Times New Roman" w:hAnsi="Ebrima" w:cs="Times New Roman"/>
                <w:b/>
                <w:bCs/>
                <w:spacing w:val="-31"/>
                <w:sz w:val="24"/>
                <w:szCs w:val="24"/>
                <w:lang w:val="hr-HR" w:eastAsia="bs-Latn-BA"/>
              </w:rPr>
              <w:t xml:space="preserve"> </w:t>
            </w:r>
            <w:r w:rsidRPr="00314FA4">
              <w:rPr>
                <w:rFonts w:ascii="Ebrima" w:eastAsia="Times New Roman" w:hAnsi="Ebrima" w:cs="Times New Roman"/>
                <w:b/>
                <w:bCs/>
                <w:spacing w:val="-2"/>
                <w:sz w:val="24"/>
                <w:szCs w:val="24"/>
                <w:lang w:val="hr-HR" w:eastAsia="bs-Latn-BA"/>
              </w:rPr>
              <w:t>pokazatelji</w:t>
            </w:r>
          </w:p>
        </w:tc>
        <w:tc>
          <w:tcPr>
            <w:tcW w:w="854" w:type="pct"/>
            <w:shd w:val="clear" w:color="auto" w:fill="C9C9C9"/>
            <w:vAlign w:val="center"/>
          </w:tcPr>
          <w:p w:rsidR="00BC6EE8" w:rsidRPr="00314FA4" w:rsidRDefault="00BC6EE8" w:rsidP="00BC6EE8">
            <w:pPr>
              <w:widowControl w:val="0"/>
              <w:kinsoku w:val="0"/>
              <w:overflowPunct w:val="0"/>
              <w:autoSpaceDE w:val="0"/>
              <w:autoSpaceDN w:val="0"/>
              <w:adjustRightInd w:val="0"/>
              <w:spacing w:after="0" w:line="240" w:lineRule="auto"/>
              <w:ind w:left="57" w:right="57"/>
              <w:rPr>
                <w:rFonts w:ascii="Ebrima" w:eastAsia="Times New Roman" w:hAnsi="Ebrima" w:cs="Times New Roman"/>
                <w:b/>
                <w:sz w:val="24"/>
                <w:szCs w:val="24"/>
                <w:lang w:val="hr-HR" w:eastAsia="bs-Latn-BA"/>
              </w:rPr>
            </w:pPr>
            <w:r w:rsidRPr="00314FA4">
              <w:rPr>
                <w:rFonts w:ascii="Ebrima" w:eastAsia="Times New Roman" w:hAnsi="Ebrima" w:cs="Times New Roman"/>
                <w:b/>
                <w:bCs/>
                <w:spacing w:val="-1"/>
                <w:sz w:val="24"/>
                <w:szCs w:val="24"/>
                <w:lang w:val="hr-HR" w:eastAsia="bs-Latn-BA"/>
              </w:rPr>
              <w:t>Veličina</w:t>
            </w:r>
          </w:p>
        </w:tc>
      </w:tr>
      <w:tr w:rsidR="00D74819" w:rsidRPr="00314FA4" w:rsidTr="00D802C6">
        <w:trPr>
          <w:trHeight w:hRule="exact" w:val="1096"/>
        </w:trPr>
        <w:tc>
          <w:tcPr>
            <w:tcW w:w="2616" w:type="pct"/>
            <w:vMerge/>
            <w:shd w:val="clear" w:color="auto" w:fill="C9C9C9"/>
            <w:vAlign w:val="center"/>
          </w:tcPr>
          <w:p w:rsidR="00BC6EE8" w:rsidRPr="00314FA4" w:rsidRDefault="00BC6EE8" w:rsidP="00BC6EE8">
            <w:pPr>
              <w:widowControl w:val="0"/>
              <w:kinsoku w:val="0"/>
              <w:overflowPunct w:val="0"/>
              <w:autoSpaceDE w:val="0"/>
              <w:autoSpaceDN w:val="0"/>
              <w:adjustRightInd w:val="0"/>
              <w:spacing w:after="0" w:line="240" w:lineRule="auto"/>
              <w:ind w:left="57" w:right="57"/>
              <w:rPr>
                <w:rFonts w:ascii="Ebrima" w:eastAsia="Times New Roman" w:hAnsi="Ebrima" w:cs="Times New Roman"/>
                <w:sz w:val="24"/>
                <w:szCs w:val="24"/>
                <w:lang w:val="hr-HR" w:eastAsia="bs-Latn-BA"/>
              </w:rPr>
            </w:pPr>
          </w:p>
        </w:tc>
        <w:tc>
          <w:tcPr>
            <w:tcW w:w="1530" w:type="pct"/>
            <w:vAlign w:val="center"/>
          </w:tcPr>
          <w:p w:rsidR="00BC6EE8" w:rsidRPr="00314FA4" w:rsidRDefault="00BC6EE8" w:rsidP="00D802C6">
            <w:pPr>
              <w:widowControl w:val="0"/>
              <w:kinsoku w:val="0"/>
              <w:overflowPunct w:val="0"/>
              <w:autoSpaceDE w:val="0"/>
              <w:autoSpaceDN w:val="0"/>
              <w:adjustRightInd w:val="0"/>
              <w:spacing w:after="0" w:line="240" w:lineRule="auto"/>
              <w:ind w:left="57" w:right="57"/>
              <w:rPr>
                <w:rFonts w:ascii="Ebrima" w:eastAsia="Times New Roman" w:hAnsi="Ebrima" w:cs="Times New Roman"/>
                <w:sz w:val="24"/>
                <w:szCs w:val="24"/>
                <w:lang w:val="hr-HR" w:eastAsia="bs-Latn-BA"/>
              </w:rPr>
            </w:pPr>
            <w:r w:rsidRPr="00314FA4">
              <w:rPr>
                <w:rFonts w:ascii="Ebrima" w:eastAsia="Times New Roman" w:hAnsi="Ebrima" w:cs="Times New Roman"/>
                <w:bCs/>
                <w:spacing w:val="-1"/>
                <w:sz w:val="24"/>
                <w:szCs w:val="24"/>
                <w:lang w:val="hr-HR" w:eastAsia="bs-Latn-BA"/>
              </w:rPr>
              <w:t xml:space="preserve">Površina </w:t>
            </w:r>
            <w:r w:rsidR="00D802C6" w:rsidRPr="00314FA4">
              <w:rPr>
                <w:rFonts w:ascii="Ebrima" w:eastAsia="Times New Roman" w:hAnsi="Ebrima" w:cs="Times New Roman"/>
                <w:bCs/>
                <w:spacing w:val="-1"/>
                <w:sz w:val="24"/>
                <w:szCs w:val="24"/>
                <w:lang w:val="hr-HR" w:eastAsia="bs-Latn-BA"/>
              </w:rPr>
              <w:t>k</w:t>
            </w:r>
            <w:r w:rsidRPr="00314FA4">
              <w:rPr>
                <w:rFonts w:ascii="Ebrima" w:eastAsia="Times New Roman" w:hAnsi="Ebrima" w:cs="Times New Roman"/>
                <w:bCs/>
                <w:spacing w:val="-1"/>
                <w:sz w:val="24"/>
                <w:szCs w:val="24"/>
                <w:lang w:val="hr-HR" w:eastAsia="bs-Latn-BA"/>
              </w:rPr>
              <w:t>antona</w:t>
            </w:r>
            <w:r w:rsidRPr="00314FA4">
              <w:rPr>
                <w:rFonts w:ascii="Ebrima" w:eastAsia="Times New Roman" w:hAnsi="Ebrima" w:cs="Times New Roman"/>
                <w:bCs/>
                <w:sz w:val="24"/>
                <w:szCs w:val="24"/>
                <w:lang w:val="hr-HR" w:eastAsia="bs-Latn-BA"/>
              </w:rPr>
              <w:t xml:space="preserve"> </w:t>
            </w:r>
            <w:r w:rsidRPr="00314FA4">
              <w:rPr>
                <w:rFonts w:ascii="Ebrima" w:eastAsia="Times New Roman" w:hAnsi="Ebrima" w:cs="Times New Roman"/>
                <w:bCs/>
                <w:spacing w:val="-1"/>
                <w:sz w:val="24"/>
                <w:szCs w:val="24"/>
                <w:lang w:val="hr-HR" w:eastAsia="bs-Latn-BA"/>
              </w:rPr>
              <w:t>(km</w:t>
            </w:r>
            <w:r w:rsidRPr="00314FA4">
              <w:rPr>
                <w:rFonts w:ascii="Ebrima" w:eastAsia="Times New Roman" w:hAnsi="Ebrima" w:cs="Times New Roman"/>
                <w:bCs/>
                <w:spacing w:val="-1"/>
                <w:sz w:val="24"/>
                <w:szCs w:val="24"/>
                <w:vertAlign w:val="superscript"/>
                <w:lang w:val="hr-HR" w:eastAsia="bs-Latn-BA"/>
              </w:rPr>
              <w:t>2</w:t>
            </w:r>
            <w:r w:rsidRPr="00314FA4">
              <w:rPr>
                <w:rFonts w:ascii="Ebrima" w:eastAsia="Times New Roman" w:hAnsi="Ebrima" w:cs="Times New Roman"/>
                <w:bCs/>
                <w:spacing w:val="-1"/>
                <w:sz w:val="24"/>
                <w:szCs w:val="24"/>
                <w:lang w:val="hr-HR" w:eastAsia="bs-Latn-BA"/>
              </w:rPr>
              <w:t>)</w:t>
            </w:r>
          </w:p>
        </w:tc>
        <w:tc>
          <w:tcPr>
            <w:tcW w:w="854" w:type="pct"/>
          </w:tcPr>
          <w:p w:rsidR="00BC6EE8" w:rsidRPr="00314FA4" w:rsidRDefault="00BC6EE8" w:rsidP="00BC6EE8">
            <w:pPr>
              <w:widowControl w:val="0"/>
              <w:kinsoku w:val="0"/>
              <w:overflowPunct w:val="0"/>
              <w:autoSpaceDE w:val="0"/>
              <w:autoSpaceDN w:val="0"/>
              <w:adjustRightInd w:val="0"/>
              <w:spacing w:after="0" w:line="240" w:lineRule="auto"/>
              <w:ind w:left="57" w:right="57"/>
              <w:rPr>
                <w:rFonts w:ascii="Ebrima" w:eastAsia="Times New Roman" w:hAnsi="Ebrima" w:cs="Times New Roman"/>
                <w:sz w:val="24"/>
                <w:szCs w:val="24"/>
                <w:lang w:val="hr-HR" w:eastAsia="bs-Latn-BA"/>
              </w:rPr>
            </w:pPr>
            <w:r w:rsidRPr="00314FA4">
              <w:rPr>
                <w:rFonts w:ascii="Ebrima" w:eastAsia="Times New Roman" w:hAnsi="Ebrima" w:cs="Times New Roman"/>
                <w:spacing w:val="-1"/>
                <w:sz w:val="24"/>
                <w:szCs w:val="24"/>
                <w:lang w:val="hr-HR" w:eastAsia="bs-Latn-BA"/>
              </w:rPr>
              <w:t>504,6</w:t>
            </w:r>
          </w:p>
        </w:tc>
      </w:tr>
      <w:tr w:rsidR="00D74819" w:rsidRPr="00314FA4" w:rsidTr="00D802C6">
        <w:trPr>
          <w:trHeight w:hRule="exact" w:val="751"/>
        </w:trPr>
        <w:tc>
          <w:tcPr>
            <w:tcW w:w="2616" w:type="pct"/>
            <w:vMerge/>
            <w:shd w:val="clear" w:color="auto" w:fill="C9C9C9"/>
            <w:vAlign w:val="center"/>
          </w:tcPr>
          <w:p w:rsidR="00BC6EE8" w:rsidRPr="00314FA4" w:rsidRDefault="00BC6EE8" w:rsidP="00BC6EE8">
            <w:pPr>
              <w:widowControl w:val="0"/>
              <w:kinsoku w:val="0"/>
              <w:overflowPunct w:val="0"/>
              <w:autoSpaceDE w:val="0"/>
              <w:autoSpaceDN w:val="0"/>
              <w:adjustRightInd w:val="0"/>
              <w:spacing w:after="0" w:line="240" w:lineRule="auto"/>
              <w:ind w:left="57" w:right="57"/>
              <w:rPr>
                <w:rFonts w:ascii="Ebrima" w:eastAsia="Times New Roman" w:hAnsi="Ebrima" w:cs="Times New Roman"/>
                <w:bCs/>
                <w:spacing w:val="-1"/>
                <w:sz w:val="24"/>
                <w:szCs w:val="24"/>
                <w:lang w:val="hr-HR" w:eastAsia="bs-Latn-BA"/>
              </w:rPr>
            </w:pPr>
          </w:p>
        </w:tc>
        <w:tc>
          <w:tcPr>
            <w:tcW w:w="1530" w:type="pct"/>
            <w:vAlign w:val="center"/>
          </w:tcPr>
          <w:p w:rsidR="00BC6EE8" w:rsidRPr="00314FA4" w:rsidRDefault="00BC6EE8" w:rsidP="00BC6EE8">
            <w:pPr>
              <w:widowControl w:val="0"/>
              <w:kinsoku w:val="0"/>
              <w:overflowPunct w:val="0"/>
              <w:autoSpaceDE w:val="0"/>
              <w:autoSpaceDN w:val="0"/>
              <w:adjustRightInd w:val="0"/>
              <w:spacing w:after="0" w:line="240" w:lineRule="auto"/>
              <w:ind w:left="57" w:right="57"/>
              <w:rPr>
                <w:rFonts w:ascii="Ebrima" w:eastAsia="Times New Roman" w:hAnsi="Ebrima" w:cs="Times New Roman"/>
                <w:bCs/>
                <w:spacing w:val="-1"/>
                <w:sz w:val="24"/>
                <w:szCs w:val="24"/>
                <w:lang w:val="hr-HR" w:eastAsia="bs-Latn-BA"/>
              </w:rPr>
            </w:pPr>
            <w:r w:rsidRPr="00314FA4">
              <w:rPr>
                <w:rFonts w:ascii="Ebrima" w:eastAsia="Times New Roman" w:hAnsi="Ebrima" w:cs="Times New Roman"/>
                <w:bCs/>
                <w:spacing w:val="-1"/>
                <w:sz w:val="24"/>
                <w:szCs w:val="24"/>
                <w:lang w:val="hr-HR" w:eastAsia="bs-Latn-BA"/>
              </w:rPr>
              <w:t>Površina FBiH (km</w:t>
            </w:r>
            <w:r w:rsidRPr="00314FA4">
              <w:rPr>
                <w:rFonts w:ascii="Ebrima" w:eastAsia="Times New Roman" w:hAnsi="Ebrima" w:cs="Times New Roman"/>
                <w:bCs/>
                <w:spacing w:val="-1"/>
                <w:sz w:val="24"/>
                <w:szCs w:val="24"/>
                <w:vertAlign w:val="superscript"/>
                <w:lang w:val="hr-HR" w:eastAsia="bs-Latn-BA"/>
              </w:rPr>
              <w:t>2</w:t>
            </w:r>
            <w:r w:rsidRPr="00314FA4">
              <w:rPr>
                <w:rFonts w:ascii="Ebrima" w:eastAsia="Times New Roman" w:hAnsi="Ebrima" w:cs="Times New Roman"/>
                <w:bCs/>
                <w:spacing w:val="-1"/>
                <w:sz w:val="24"/>
                <w:szCs w:val="24"/>
                <w:lang w:val="hr-HR" w:eastAsia="bs-Latn-BA"/>
              </w:rPr>
              <w:t>)</w:t>
            </w:r>
          </w:p>
        </w:tc>
        <w:tc>
          <w:tcPr>
            <w:tcW w:w="854" w:type="pct"/>
          </w:tcPr>
          <w:p w:rsidR="00BC6EE8" w:rsidRPr="00314FA4" w:rsidDel="00F45484" w:rsidRDefault="00BC6EE8" w:rsidP="00BC6EE8">
            <w:pPr>
              <w:widowControl w:val="0"/>
              <w:kinsoku w:val="0"/>
              <w:overflowPunct w:val="0"/>
              <w:autoSpaceDE w:val="0"/>
              <w:autoSpaceDN w:val="0"/>
              <w:adjustRightInd w:val="0"/>
              <w:spacing w:after="0" w:line="240" w:lineRule="auto"/>
              <w:ind w:left="57" w:right="57"/>
              <w:rPr>
                <w:rFonts w:ascii="Ebrima" w:eastAsia="Times New Roman" w:hAnsi="Ebrima" w:cs="Times New Roman"/>
                <w:spacing w:val="-1"/>
                <w:sz w:val="24"/>
                <w:szCs w:val="24"/>
                <w:lang w:val="hr-HR" w:eastAsia="bs-Latn-BA"/>
              </w:rPr>
            </w:pPr>
            <w:r w:rsidRPr="00314FA4">
              <w:rPr>
                <w:rFonts w:ascii="Ebrima" w:eastAsia="Times New Roman" w:hAnsi="Ebrima" w:cs="Times New Roman"/>
                <w:spacing w:val="-1"/>
                <w:sz w:val="24"/>
                <w:szCs w:val="24"/>
                <w:lang w:val="hr-HR" w:eastAsia="bs-Latn-BA"/>
              </w:rPr>
              <w:t>26</w:t>
            </w:r>
            <w:r w:rsidR="00840299" w:rsidRPr="00314FA4">
              <w:rPr>
                <w:rFonts w:ascii="Ebrima" w:eastAsia="Times New Roman" w:hAnsi="Ebrima" w:cs="Times New Roman"/>
                <w:spacing w:val="-1"/>
                <w:sz w:val="24"/>
                <w:szCs w:val="24"/>
                <w:lang w:val="hr-HR" w:eastAsia="bs-Latn-BA"/>
              </w:rPr>
              <w:t>.</w:t>
            </w:r>
            <w:r w:rsidRPr="00314FA4">
              <w:rPr>
                <w:rFonts w:ascii="Ebrima" w:eastAsia="Times New Roman" w:hAnsi="Ebrima" w:cs="Times New Roman"/>
                <w:spacing w:val="-1"/>
                <w:sz w:val="24"/>
                <w:szCs w:val="24"/>
                <w:lang w:val="hr-HR" w:eastAsia="bs-Latn-BA"/>
              </w:rPr>
              <w:t>110,5</w:t>
            </w:r>
          </w:p>
        </w:tc>
      </w:tr>
      <w:tr w:rsidR="00D74819" w:rsidRPr="00314FA4" w:rsidTr="00D802C6">
        <w:trPr>
          <w:trHeight w:hRule="exact" w:val="347"/>
        </w:trPr>
        <w:tc>
          <w:tcPr>
            <w:tcW w:w="2616" w:type="pct"/>
            <w:vMerge/>
            <w:shd w:val="clear" w:color="auto" w:fill="C9C9C9"/>
            <w:vAlign w:val="center"/>
          </w:tcPr>
          <w:p w:rsidR="00BC6EE8" w:rsidRPr="00314FA4" w:rsidRDefault="00BC6EE8" w:rsidP="00BC6EE8">
            <w:pPr>
              <w:widowControl w:val="0"/>
              <w:kinsoku w:val="0"/>
              <w:overflowPunct w:val="0"/>
              <w:autoSpaceDE w:val="0"/>
              <w:autoSpaceDN w:val="0"/>
              <w:adjustRightInd w:val="0"/>
              <w:spacing w:after="0" w:line="240" w:lineRule="auto"/>
              <w:ind w:left="57" w:right="57"/>
              <w:rPr>
                <w:rFonts w:ascii="Ebrima" w:eastAsia="Times New Roman" w:hAnsi="Ebrima" w:cs="Times New Roman"/>
                <w:sz w:val="24"/>
                <w:szCs w:val="24"/>
                <w:lang w:val="hr-HR" w:eastAsia="bs-Latn-BA"/>
              </w:rPr>
            </w:pPr>
          </w:p>
        </w:tc>
        <w:tc>
          <w:tcPr>
            <w:tcW w:w="1530" w:type="pct"/>
            <w:vAlign w:val="center"/>
          </w:tcPr>
          <w:p w:rsidR="00BC6EE8" w:rsidRPr="00314FA4" w:rsidRDefault="00D802C6" w:rsidP="00BC6EE8">
            <w:pPr>
              <w:widowControl w:val="0"/>
              <w:kinsoku w:val="0"/>
              <w:overflowPunct w:val="0"/>
              <w:autoSpaceDE w:val="0"/>
              <w:autoSpaceDN w:val="0"/>
              <w:adjustRightInd w:val="0"/>
              <w:spacing w:after="0" w:line="240" w:lineRule="auto"/>
              <w:ind w:left="57" w:right="57"/>
              <w:rPr>
                <w:rFonts w:ascii="Ebrima" w:eastAsia="Times New Roman" w:hAnsi="Ebrima" w:cs="Times New Roman"/>
                <w:sz w:val="24"/>
                <w:szCs w:val="24"/>
                <w:lang w:val="hr-HR" w:eastAsia="bs-Latn-BA"/>
              </w:rPr>
            </w:pPr>
            <w:r w:rsidRPr="00314FA4">
              <w:rPr>
                <w:rFonts w:ascii="Ebrima" w:eastAsia="Times New Roman" w:hAnsi="Ebrima" w:cs="Times New Roman"/>
                <w:bCs/>
                <w:spacing w:val="-1"/>
                <w:sz w:val="24"/>
                <w:szCs w:val="24"/>
                <w:lang w:val="hr-HR" w:eastAsia="bs-Latn-BA"/>
              </w:rPr>
              <w:t xml:space="preserve">Broj </w:t>
            </w:r>
            <w:r w:rsidR="00BC6EE8" w:rsidRPr="00314FA4">
              <w:rPr>
                <w:rFonts w:ascii="Ebrima" w:eastAsia="Times New Roman" w:hAnsi="Ebrima" w:cs="Times New Roman"/>
                <w:bCs/>
                <w:spacing w:val="-1"/>
                <w:sz w:val="24"/>
                <w:szCs w:val="24"/>
                <w:lang w:val="hr-HR" w:eastAsia="bs-Latn-BA"/>
              </w:rPr>
              <w:t>stanovnika</w:t>
            </w:r>
          </w:p>
        </w:tc>
        <w:tc>
          <w:tcPr>
            <w:tcW w:w="854" w:type="pct"/>
          </w:tcPr>
          <w:p w:rsidR="00BC6EE8" w:rsidRPr="00314FA4" w:rsidRDefault="00BC6EE8" w:rsidP="00BC6EE8">
            <w:pPr>
              <w:widowControl w:val="0"/>
              <w:kinsoku w:val="0"/>
              <w:overflowPunct w:val="0"/>
              <w:autoSpaceDE w:val="0"/>
              <w:autoSpaceDN w:val="0"/>
              <w:adjustRightInd w:val="0"/>
              <w:spacing w:after="0" w:line="240" w:lineRule="auto"/>
              <w:ind w:left="57" w:right="57"/>
              <w:rPr>
                <w:rFonts w:ascii="Ebrima" w:eastAsia="Times New Roman" w:hAnsi="Ebrima" w:cs="Times New Roman"/>
                <w:sz w:val="24"/>
                <w:szCs w:val="24"/>
                <w:lang w:val="hr-HR" w:eastAsia="bs-Latn-BA"/>
              </w:rPr>
            </w:pPr>
            <w:r w:rsidRPr="00314FA4">
              <w:rPr>
                <w:rFonts w:ascii="Ebrima" w:eastAsia="Times New Roman" w:hAnsi="Ebrima" w:cs="Times New Roman"/>
                <w:spacing w:val="-1"/>
                <w:sz w:val="24"/>
                <w:szCs w:val="24"/>
                <w:lang w:val="hr-HR" w:eastAsia="bs-Latn-BA"/>
              </w:rPr>
              <w:t>23.734</w:t>
            </w:r>
          </w:p>
        </w:tc>
      </w:tr>
      <w:tr w:rsidR="00D74819" w:rsidRPr="00314FA4" w:rsidTr="00D802C6">
        <w:trPr>
          <w:gridAfter w:val="2"/>
          <w:wAfter w:w="2384" w:type="pct"/>
          <w:trHeight w:hRule="exact" w:val="347"/>
        </w:trPr>
        <w:tc>
          <w:tcPr>
            <w:tcW w:w="2616" w:type="pct"/>
            <w:vMerge/>
            <w:shd w:val="clear" w:color="auto" w:fill="C9C9C9"/>
            <w:vAlign w:val="center"/>
          </w:tcPr>
          <w:p w:rsidR="007C6A65" w:rsidRPr="00314FA4" w:rsidRDefault="007C6A65" w:rsidP="00BC6EE8">
            <w:pPr>
              <w:widowControl w:val="0"/>
              <w:kinsoku w:val="0"/>
              <w:overflowPunct w:val="0"/>
              <w:autoSpaceDE w:val="0"/>
              <w:autoSpaceDN w:val="0"/>
              <w:adjustRightInd w:val="0"/>
              <w:spacing w:after="0" w:line="240" w:lineRule="auto"/>
              <w:ind w:left="57" w:right="57"/>
              <w:rPr>
                <w:rFonts w:ascii="Ebrima" w:eastAsia="Times New Roman" w:hAnsi="Ebrima" w:cs="Times New Roman"/>
                <w:sz w:val="24"/>
                <w:szCs w:val="24"/>
                <w:lang w:val="hr-HR" w:eastAsia="bs-Latn-BA"/>
              </w:rPr>
            </w:pPr>
          </w:p>
        </w:tc>
      </w:tr>
      <w:tr w:rsidR="00D74819" w:rsidRPr="00314FA4" w:rsidTr="00D802C6">
        <w:trPr>
          <w:gridAfter w:val="2"/>
          <w:wAfter w:w="2384" w:type="pct"/>
          <w:trHeight w:hRule="exact" w:val="347"/>
        </w:trPr>
        <w:tc>
          <w:tcPr>
            <w:tcW w:w="2616" w:type="pct"/>
            <w:vMerge/>
            <w:shd w:val="clear" w:color="auto" w:fill="C9C9C9"/>
            <w:vAlign w:val="center"/>
          </w:tcPr>
          <w:p w:rsidR="007C6A65" w:rsidRPr="00314FA4" w:rsidRDefault="007C6A65" w:rsidP="00BC6EE8">
            <w:pPr>
              <w:widowControl w:val="0"/>
              <w:kinsoku w:val="0"/>
              <w:overflowPunct w:val="0"/>
              <w:autoSpaceDE w:val="0"/>
              <w:autoSpaceDN w:val="0"/>
              <w:adjustRightInd w:val="0"/>
              <w:spacing w:after="0" w:line="240" w:lineRule="auto"/>
              <w:ind w:left="57" w:right="57"/>
              <w:rPr>
                <w:rFonts w:ascii="Ebrima" w:eastAsia="Times New Roman" w:hAnsi="Ebrima" w:cs="Times New Roman"/>
                <w:sz w:val="24"/>
                <w:szCs w:val="24"/>
                <w:lang w:val="hr-HR" w:eastAsia="bs-Latn-BA"/>
              </w:rPr>
            </w:pPr>
          </w:p>
        </w:tc>
      </w:tr>
      <w:tr w:rsidR="00D74819" w:rsidRPr="00314FA4" w:rsidTr="00D802C6">
        <w:trPr>
          <w:gridAfter w:val="2"/>
          <w:wAfter w:w="2384" w:type="pct"/>
          <w:trHeight w:hRule="exact" w:val="347"/>
        </w:trPr>
        <w:tc>
          <w:tcPr>
            <w:tcW w:w="2616" w:type="pct"/>
            <w:vMerge/>
            <w:shd w:val="clear" w:color="auto" w:fill="C9C9C9"/>
            <w:vAlign w:val="center"/>
          </w:tcPr>
          <w:p w:rsidR="007C6A65" w:rsidRPr="00314FA4" w:rsidRDefault="007C6A65" w:rsidP="00BC6EE8">
            <w:pPr>
              <w:widowControl w:val="0"/>
              <w:kinsoku w:val="0"/>
              <w:overflowPunct w:val="0"/>
              <w:autoSpaceDE w:val="0"/>
              <w:autoSpaceDN w:val="0"/>
              <w:adjustRightInd w:val="0"/>
              <w:spacing w:after="0" w:line="240" w:lineRule="auto"/>
              <w:ind w:left="57" w:right="57"/>
              <w:rPr>
                <w:rFonts w:ascii="Ebrima" w:eastAsia="Times New Roman" w:hAnsi="Ebrima" w:cs="Times New Roman"/>
                <w:sz w:val="24"/>
                <w:szCs w:val="24"/>
                <w:lang w:val="hr-HR" w:eastAsia="bs-Latn-BA"/>
              </w:rPr>
            </w:pPr>
          </w:p>
        </w:tc>
      </w:tr>
    </w:tbl>
    <w:p w:rsidR="00BC6EE8" w:rsidRPr="00314FA4" w:rsidRDefault="00BC6EE8" w:rsidP="00BC6EE8">
      <w:pPr>
        <w:shd w:val="clear" w:color="auto" w:fill="FFFFFF"/>
        <w:spacing w:after="0" w:line="240" w:lineRule="auto"/>
        <w:jc w:val="both"/>
        <w:rPr>
          <w:rFonts w:ascii="Ebrima" w:eastAsia="Times New Roman" w:hAnsi="Ebrima" w:cs="Times New Roman"/>
          <w:bCs/>
          <w:iCs/>
          <w:sz w:val="24"/>
          <w:szCs w:val="24"/>
          <w:lang w:val="hr-HR"/>
        </w:rPr>
      </w:pPr>
    </w:p>
    <w:p w:rsidR="00BC6EE8" w:rsidRPr="00314FA4" w:rsidRDefault="00BC6EE8" w:rsidP="009C7504">
      <w:pPr>
        <w:shd w:val="clear" w:color="auto" w:fill="FFFFFF"/>
        <w:spacing w:after="0" w:line="240" w:lineRule="auto"/>
        <w:rPr>
          <w:rFonts w:ascii="Ebrima" w:eastAsia="Times New Roman" w:hAnsi="Ebrima" w:cs="Times New Roman"/>
          <w:sz w:val="24"/>
          <w:szCs w:val="24"/>
          <w:lang w:val="hr-HR"/>
        </w:rPr>
      </w:pPr>
      <w:r w:rsidRPr="00314FA4">
        <w:rPr>
          <w:rFonts w:ascii="Ebrima" w:eastAsia="Times New Roman" w:hAnsi="Ebrima" w:cs="Times New Roman"/>
          <w:bCs/>
          <w:iCs/>
          <w:sz w:val="24"/>
          <w:szCs w:val="24"/>
          <w:lang w:val="hr-HR"/>
        </w:rPr>
        <w:t xml:space="preserve">U sastavu BPK nalaze se </w:t>
      </w:r>
      <w:r w:rsidR="000B0A00" w:rsidRPr="00314FA4">
        <w:rPr>
          <w:rFonts w:ascii="Ebrima" w:eastAsia="Times New Roman" w:hAnsi="Ebrima" w:cs="Times New Roman"/>
          <w:bCs/>
          <w:iCs/>
          <w:sz w:val="24"/>
          <w:szCs w:val="24"/>
          <w:lang w:val="hr-HR"/>
        </w:rPr>
        <w:t>Grad Goražde i dvije</w:t>
      </w:r>
      <w:r w:rsidRPr="00314FA4">
        <w:rPr>
          <w:rFonts w:ascii="Ebrima" w:eastAsia="Times New Roman" w:hAnsi="Ebrima" w:cs="Times New Roman"/>
          <w:bCs/>
          <w:iCs/>
          <w:sz w:val="24"/>
          <w:szCs w:val="24"/>
          <w:lang w:val="hr-HR"/>
        </w:rPr>
        <w:t xml:space="preserve"> općine:</w:t>
      </w:r>
      <w:r w:rsidR="000B0A00" w:rsidRPr="00314FA4">
        <w:rPr>
          <w:rFonts w:ascii="Ebrima" w:eastAsia="Times New Roman" w:hAnsi="Ebrima" w:cs="Times New Roman"/>
          <w:bCs/>
          <w:iCs/>
          <w:sz w:val="24"/>
          <w:szCs w:val="24"/>
          <w:lang w:val="hr-HR"/>
        </w:rPr>
        <w:t xml:space="preserve"> </w:t>
      </w:r>
      <w:r w:rsidRPr="00314FA4">
        <w:rPr>
          <w:rFonts w:ascii="Ebrima" w:eastAsia="Times New Roman" w:hAnsi="Ebrima" w:cs="Times New Roman"/>
          <w:bCs/>
          <w:iCs/>
          <w:sz w:val="24"/>
          <w:szCs w:val="24"/>
          <w:lang w:val="hr-HR"/>
        </w:rPr>
        <w:t>Foča u Fed</w:t>
      </w:r>
      <w:r w:rsidR="00D802C6" w:rsidRPr="00314FA4">
        <w:rPr>
          <w:rFonts w:ascii="Ebrima" w:eastAsia="Times New Roman" w:hAnsi="Ebrima" w:cs="Times New Roman"/>
          <w:bCs/>
          <w:iCs/>
          <w:sz w:val="24"/>
          <w:szCs w:val="24"/>
          <w:lang w:val="hr-HR"/>
        </w:rPr>
        <w:t xml:space="preserve">eraciji BiH </w:t>
      </w:r>
      <w:r w:rsidR="00DC71EF" w:rsidRPr="00314FA4">
        <w:rPr>
          <w:rFonts w:ascii="Ebrima" w:eastAsia="Times New Roman" w:hAnsi="Ebrima" w:cs="Times New Roman"/>
          <w:bCs/>
          <w:iCs/>
          <w:sz w:val="24"/>
          <w:szCs w:val="24"/>
          <w:lang w:val="hr-HR"/>
        </w:rPr>
        <w:t xml:space="preserve">i Pale u </w:t>
      </w:r>
      <w:r w:rsidR="00D802C6" w:rsidRPr="00314FA4">
        <w:rPr>
          <w:rFonts w:ascii="Ebrima" w:eastAsia="Times New Roman" w:hAnsi="Ebrima" w:cs="Times New Roman"/>
          <w:bCs/>
          <w:iCs/>
          <w:sz w:val="24"/>
          <w:szCs w:val="24"/>
          <w:lang w:val="hr-HR"/>
        </w:rPr>
        <w:t xml:space="preserve">Federaciji </w:t>
      </w:r>
      <w:r w:rsidRPr="00314FA4">
        <w:rPr>
          <w:rFonts w:ascii="Ebrima" w:eastAsia="Times New Roman" w:hAnsi="Ebrima" w:cs="Times New Roman"/>
          <w:bCs/>
          <w:iCs/>
          <w:sz w:val="24"/>
          <w:szCs w:val="24"/>
          <w:lang w:val="hr-HR"/>
        </w:rPr>
        <w:t>BiH.  Administrativno-političko središte kantona je u Goraždu. BPK se dodiruje sa općinom Trnovo iz FBiH, Kantonom Sarajevo, te 5 općina iz Republike Srpske (Foča, Kalinovik, Novo Goražde, Pale i Rogatica).</w:t>
      </w:r>
    </w:p>
    <w:p w:rsidR="00BC6EE8" w:rsidRPr="00314FA4" w:rsidRDefault="00BC6EE8" w:rsidP="00BC6EE8">
      <w:pPr>
        <w:shd w:val="clear" w:color="auto" w:fill="FFFFFF"/>
        <w:spacing w:after="0" w:line="240" w:lineRule="auto"/>
        <w:jc w:val="both"/>
        <w:rPr>
          <w:rFonts w:ascii="Ebrima" w:eastAsia="Times New Roman" w:hAnsi="Ebrima" w:cs="Times New Roman"/>
          <w:b/>
          <w:bCs/>
          <w:sz w:val="24"/>
          <w:szCs w:val="24"/>
          <w:lang w:val="hr-HR"/>
        </w:rPr>
      </w:pPr>
    </w:p>
    <w:p w:rsidR="00BC6EE8" w:rsidRPr="00314FA4" w:rsidRDefault="00BC6EE8" w:rsidP="00BC6EE8">
      <w:pPr>
        <w:spacing w:after="0" w:line="240" w:lineRule="auto"/>
        <w:jc w:val="both"/>
        <w:rPr>
          <w:rFonts w:ascii="Ebrima" w:eastAsia="Times New Roman" w:hAnsi="Ebrima" w:cs="Times New Roman"/>
          <w:sz w:val="24"/>
          <w:szCs w:val="24"/>
          <w:lang w:val="hr-HR"/>
        </w:rPr>
      </w:pPr>
      <w:r w:rsidRPr="00314FA4">
        <w:rPr>
          <w:rFonts w:ascii="Ebrima" w:eastAsia="Times New Roman" w:hAnsi="Ebrima" w:cs="Times New Roman"/>
          <w:sz w:val="24"/>
          <w:szCs w:val="24"/>
          <w:lang w:val="hr-HR"/>
        </w:rPr>
        <w:t xml:space="preserve">Koncept razvoja ovog Kantona je </w:t>
      </w:r>
      <w:r w:rsidR="001C3115" w:rsidRPr="00314FA4">
        <w:rPr>
          <w:rFonts w:ascii="Ebrima" w:eastAsia="Times New Roman" w:hAnsi="Ebrima" w:cs="Times New Roman"/>
          <w:sz w:val="24"/>
          <w:szCs w:val="24"/>
          <w:lang w:val="hr-HR"/>
        </w:rPr>
        <w:t>razvoj</w:t>
      </w:r>
      <w:r w:rsidRPr="00314FA4">
        <w:rPr>
          <w:rFonts w:ascii="Ebrima" w:eastAsia="Times New Roman" w:hAnsi="Ebrima" w:cs="Times New Roman"/>
          <w:sz w:val="24"/>
          <w:szCs w:val="24"/>
          <w:lang w:val="hr-HR"/>
        </w:rPr>
        <w:t xml:space="preserve"> privrednih kapaciteta koji imaju zdravu osnovu i per</w:t>
      </w:r>
      <w:r w:rsidR="000B0A00" w:rsidRPr="00314FA4">
        <w:rPr>
          <w:rFonts w:ascii="Ebrima" w:eastAsia="Times New Roman" w:hAnsi="Ebrima" w:cs="Times New Roman"/>
          <w:sz w:val="24"/>
          <w:szCs w:val="24"/>
          <w:lang w:val="hr-HR"/>
        </w:rPr>
        <w:t>s</w:t>
      </w:r>
      <w:r w:rsidRPr="00314FA4">
        <w:rPr>
          <w:rFonts w:ascii="Ebrima" w:eastAsia="Times New Roman" w:hAnsi="Ebrima" w:cs="Times New Roman"/>
          <w:sz w:val="24"/>
          <w:szCs w:val="24"/>
          <w:lang w:val="hr-HR"/>
        </w:rPr>
        <w:t>pektive za jačanje, iskorištavanje velikih prirodnih resursa ovog kantona, davanjem koncesija, te jačanje poljoprivrede, u kojoj su neiskorištene mogućnosti razvoja ruralnog područja. Bosansko-podrinjski kanton Goražde ima dosta prirodnih resursa, kao što su: vodeni potencijal, nalazišta gipsa, izvori termalne i pitke vode, proizvodnja zdrave hrane, veliki turistički i hidro potencijal rijeke Drine i njenih pritoka, bogatstvo šuma i lovišta, što otvara razn</w:t>
      </w:r>
      <w:r w:rsidR="001C3115" w:rsidRPr="00314FA4">
        <w:rPr>
          <w:rFonts w:ascii="Ebrima" w:eastAsia="Times New Roman" w:hAnsi="Ebrima" w:cs="Times New Roman"/>
          <w:sz w:val="24"/>
          <w:szCs w:val="24"/>
          <w:lang w:val="hr-HR"/>
        </w:rPr>
        <w:t>ovrsne mogućnosti za ulaganje. Pored razvoja već postojeće industijske</w:t>
      </w:r>
      <w:r w:rsidR="000A4D4A" w:rsidRPr="00314FA4">
        <w:rPr>
          <w:rFonts w:ascii="Ebrima" w:eastAsia="Times New Roman" w:hAnsi="Ebrima" w:cs="Times New Roman"/>
          <w:sz w:val="24"/>
          <w:szCs w:val="24"/>
          <w:lang w:val="hr-HR"/>
        </w:rPr>
        <w:t xml:space="preserve"> proizvodnje i povećanja</w:t>
      </w:r>
      <w:r w:rsidR="001C3115" w:rsidRPr="00314FA4">
        <w:rPr>
          <w:rFonts w:ascii="Ebrima" w:eastAsia="Times New Roman" w:hAnsi="Ebrima" w:cs="Times New Roman"/>
          <w:sz w:val="24"/>
          <w:szCs w:val="24"/>
          <w:lang w:val="hr-HR"/>
        </w:rPr>
        <w:t xml:space="preserve"> kapaciteta sa posebnim akcentom na namjensku industriju velike su mogućnosti kako razvoj turizma tako i ruralnog razvoja, poljoprivrede</w:t>
      </w:r>
      <w:r w:rsidR="000A4D4A" w:rsidRPr="00314FA4">
        <w:rPr>
          <w:rFonts w:ascii="Ebrima" w:eastAsia="Times New Roman" w:hAnsi="Ebrima" w:cs="Times New Roman"/>
          <w:sz w:val="24"/>
          <w:szCs w:val="24"/>
          <w:lang w:val="hr-HR"/>
        </w:rPr>
        <w:t>, vodoprivrede i šumarstva.</w:t>
      </w:r>
      <w:r w:rsidR="001C3115" w:rsidRPr="00314FA4">
        <w:rPr>
          <w:rFonts w:ascii="Ebrima" w:eastAsia="Times New Roman" w:hAnsi="Ebrima" w:cs="Times New Roman"/>
          <w:sz w:val="24"/>
          <w:szCs w:val="24"/>
          <w:lang w:val="hr-HR"/>
        </w:rPr>
        <w:t xml:space="preserve"> </w:t>
      </w:r>
      <w:r w:rsidR="00AF29C3" w:rsidRPr="00314FA4">
        <w:rPr>
          <w:rFonts w:ascii="Ebrima" w:eastAsia="Times New Roman" w:hAnsi="Ebrima" w:cs="Times New Roman"/>
          <w:sz w:val="24"/>
          <w:szCs w:val="24"/>
          <w:lang w:val="hr-HR"/>
        </w:rPr>
        <w:t>Formiranje i ulaganje Turističku organizaciju stvaranje i izgradnja infrastrukturnih objekata od značaja za razvoj turizma i povećanja turističke ponude sa novim aspektom turizma koji se odnosi na vjerski turizam.</w:t>
      </w:r>
    </w:p>
    <w:p w:rsidR="00BC6EE8" w:rsidRPr="00314FA4" w:rsidRDefault="00BC6EE8" w:rsidP="00BC6EE8">
      <w:pPr>
        <w:spacing w:after="0" w:line="0" w:lineRule="atLeast"/>
        <w:jc w:val="both"/>
        <w:rPr>
          <w:rFonts w:ascii="Ebrima" w:eastAsia="Times New Roman" w:hAnsi="Ebrima" w:cs="Times New Roman"/>
          <w:sz w:val="24"/>
          <w:szCs w:val="24"/>
          <w:lang w:val="hr-HR"/>
        </w:rPr>
      </w:pPr>
      <w:r w:rsidRPr="00314FA4">
        <w:rPr>
          <w:rFonts w:ascii="Ebrima" w:eastAsia="Times New Roman" w:hAnsi="Ebrima" w:cs="Times New Roman"/>
          <w:sz w:val="24"/>
          <w:szCs w:val="24"/>
          <w:lang w:val="hr-HR"/>
        </w:rPr>
        <w:t xml:space="preserve">Jedna od najbitnijih komponenti razvoja Bosansko-podrinjskog kantona Goražde je razvoj infrastrukture sa akcentom na  izgradnju adekvatne cestovne infrastrukture od čega je najznačajniji putni pravac Goražde – Sarajevo čime bi se stvorile jako dobre pretpostavke </w:t>
      </w:r>
      <w:r w:rsidRPr="00314FA4">
        <w:rPr>
          <w:rFonts w:ascii="Ebrima" w:eastAsia="Times New Roman" w:hAnsi="Ebrima" w:cs="Times New Roman"/>
          <w:sz w:val="24"/>
          <w:szCs w:val="24"/>
          <w:lang w:val="hr-HR"/>
        </w:rPr>
        <w:lastRenderedPageBreak/>
        <w:t>još većeg razvoja Bosansko-podrinj</w:t>
      </w:r>
      <w:r w:rsidR="00220A40" w:rsidRPr="00314FA4">
        <w:rPr>
          <w:rFonts w:ascii="Ebrima" w:eastAsia="Times New Roman" w:hAnsi="Ebrima" w:cs="Times New Roman"/>
          <w:sz w:val="24"/>
          <w:szCs w:val="24"/>
          <w:lang w:val="hr-HR"/>
        </w:rPr>
        <w:t>s</w:t>
      </w:r>
      <w:r w:rsidR="009D4A68" w:rsidRPr="00314FA4">
        <w:rPr>
          <w:rFonts w:ascii="Ebrima" w:eastAsia="Times New Roman" w:hAnsi="Ebrima" w:cs="Times New Roman"/>
          <w:sz w:val="24"/>
          <w:szCs w:val="24"/>
          <w:lang w:val="hr-HR"/>
        </w:rPr>
        <w:t xml:space="preserve">kog kantona Goražde kao centra Gornjo-drinske regije. </w:t>
      </w:r>
      <w:r w:rsidR="00AF29C3" w:rsidRPr="00314FA4">
        <w:rPr>
          <w:rFonts w:ascii="Ebrima" w:eastAsia="Times New Roman" w:hAnsi="Ebrima" w:cs="Times New Roman"/>
          <w:sz w:val="24"/>
          <w:szCs w:val="24"/>
          <w:lang w:val="hr-HR"/>
        </w:rPr>
        <w:t xml:space="preserve">Ono na što se treba usmjeriti je iskorištenosti pozicije Bosansko-podrinjskog kantona Goražde koji predstavlja koridor povezivanja susjednih zemalja okruženja. </w:t>
      </w:r>
    </w:p>
    <w:p w:rsidR="001C7295" w:rsidRPr="00314FA4" w:rsidRDefault="001C7295" w:rsidP="003A09B1">
      <w:pPr>
        <w:spacing w:after="0" w:line="240" w:lineRule="auto"/>
        <w:contextualSpacing/>
        <w:jc w:val="both"/>
        <w:rPr>
          <w:rFonts w:ascii="Ebrima" w:eastAsia="Times New Roman" w:hAnsi="Ebrima" w:cs="Times New Roman"/>
          <w:b/>
          <w:bCs/>
          <w:sz w:val="24"/>
          <w:szCs w:val="24"/>
          <w:lang w:val="hr-HR"/>
        </w:rPr>
      </w:pPr>
    </w:p>
    <w:p w:rsidR="001C7295" w:rsidRPr="00314FA4" w:rsidRDefault="003A09B1" w:rsidP="003A09B1">
      <w:pPr>
        <w:spacing w:after="0" w:line="240" w:lineRule="auto"/>
        <w:contextualSpacing/>
        <w:jc w:val="both"/>
        <w:rPr>
          <w:rFonts w:ascii="Ebrima" w:eastAsia="Times New Roman" w:hAnsi="Ebrima" w:cs="Times New Roman"/>
          <w:b/>
          <w:bCs/>
          <w:sz w:val="24"/>
          <w:szCs w:val="24"/>
          <w:lang w:val="hr-HR"/>
        </w:rPr>
      </w:pPr>
      <w:r w:rsidRPr="00314FA4">
        <w:rPr>
          <w:rFonts w:ascii="Ebrima" w:eastAsia="Times New Roman" w:hAnsi="Ebrima" w:cs="Times New Roman"/>
          <w:b/>
          <w:bCs/>
          <w:sz w:val="24"/>
          <w:szCs w:val="24"/>
          <w:lang w:val="hr-HR"/>
        </w:rPr>
        <w:t xml:space="preserve">PROJEKCIJE PRIHODA </w:t>
      </w:r>
      <w:r w:rsidR="001C7295" w:rsidRPr="00314FA4">
        <w:rPr>
          <w:rFonts w:ascii="Ebrima" w:eastAsia="Times New Roman" w:hAnsi="Ebrima" w:cs="Times New Roman"/>
          <w:b/>
          <w:bCs/>
          <w:sz w:val="24"/>
          <w:szCs w:val="24"/>
          <w:lang w:val="hr-HR"/>
        </w:rPr>
        <w:t xml:space="preserve">BOSANSKO-PODRINJSKOG KANTONA GORAŽDE </w:t>
      </w:r>
    </w:p>
    <w:p w:rsidR="003A09B1" w:rsidRPr="00314FA4" w:rsidRDefault="003A09B1" w:rsidP="003A09B1">
      <w:pPr>
        <w:spacing w:after="0" w:line="240" w:lineRule="auto"/>
        <w:contextualSpacing/>
        <w:jc w:val="both"/>
        <w:rPr>
          <w:rFonts w:ascii="Ebrima" w:eastAsia="Times New Roman" w:hAnsi="Ebrima" w:cs="Times New Roman"/>
          <w:b/>
          <w:bCs/>
          <w:sz w:val="24"/>
          <w:szCs w:val="24"/>
          <w:lang w:val="hr-HR"/>
        </w:rPr>
      </w:pPr>
      <w:r w:rsidRPr="00314FA4">
        <w:rPr>
          <w:rFonts w:ascii="Ebrima" w:eastAsia="Times New Roman" w:hAnsi="Ebrima" w:cs="Times New Roman"/>
          <w:b/>
          <w:bCs/>
          <w:sz w:val="24"/>
          <w:szCs w:val="24"/>
          <w:lang w:val="hr-HR"/>
        </w:rPr>
        <w:t xml:space="preserve">ZA PERIOD </w:t>
      </w:r>
      <w:r w:rsidR="00D74819" w:rsidRPr="00314FA4">
        <w:rPr>
          <w:rFonts w:ascii="Ebrima" w:eastAsia="Times New Roman" w:hAnsi="Ebrima" w:cs="Times New Roman"/>
          <w:b/>
          <w:bCs/>
          <w:sz w:val="24"/>
          <w:szCs w:val="24"/>
          <w:lang w:val="hr-HR"/>
        </w:rPr>
        <w:t>2024</w:t>
      </w:r>
      <w:r w:rsidRPr="00314FA4">
        <w:rPr>
          <w:rFonts w:ascii="Ebrima" w:eastAsia="Times New Roman" w:hAnsi="Ebrima" w:cs="Times New Roman"/>
          <w:b/>
          <w:bCs/>
          <w:sz w:val="24"/>
          <w:szCs w:val="24"/>
          <w:lang w:val="hr-HR"/>
        </w:rPr>
        <w:t>.</w:t>
      </w:r>
      <w:r w:rsidR="00D74819" w:rsidRPr="00314FA4">
        <w:rPr>
          <w:rFonts w:ascii="Ebrima" w:eastAsia="Times New Roman" w:hAnsi="Ebrima" w:cs="Times New Roman"/>
          <w:b/>
          <w:bCs/>
          <w:sz w:val="24"/>
          <w:szCs w:val="24"/>
          <w:lang w:val="hr-HR"/>
        </w:rPr>
        <w:t>-2026</w:t>
      </w:r>
      <w:r w:rsidRPr="00314FA4">
        <w:rPr>
          <w:rFonts w:ascii="Ebrima" w:eastAsia="Times New Roman" w:hAnsi="Ebrima" w:cs="Times New Roman"/>
          <w:b/>
          <w:bCs/>
          <w:sz w:val="24"/>
          <w:szCs w:val="24"/>
          <w:lang w:val="hr-HR"/>
        </w:rPr>
        <w:t>. GODINA</w:t>
      </w:r>
    </w:p>
    <w:p w:rsidR="00D37DA5" w:rsidRPr="00314FA4" w:rsidRDefault="006D71FE" w:rsidP="00525560">
      <w:pPr>
        <w:jc w:val="both"/>
        <w:rPr>
          <w:rFonts w:ascii="Ebrima" w:hAnsi="Ebrima" w:cs="Calibri"/>
          <w:sz w:val="24"/>
          <w:szCs w:val="24"/>
          <w:lang w:val="hr-HR"/>
        </w:rPr>
      </w:pPr>
      <w:r w:rsidRPr="00314FA4">
        <w:rPr>
          <w:rFonts w:ascii="Ebrima" w:hAnsi="Ebrima" w:cs="Calibri"/>
          <w:sz w:val="24"/>
          <w:szCs w:val="24"/>
          <w:lang w:val="hr-HR"/>
        </w:rPr>
        <w:t xml:space="preserve">Projekcija </w:t>
      </w:r>
      <w:r w:rsidR="00D74819" w:rsidRPr="00314FA4">
        <w:rPr>
          <w:rFonts w:ascii="Ebrima" w:hAnsi="Ebrima" w:cs="Calibri"/>
          <w:sz w:val="24"/>
          <w:szCs w:val="24"/>
          <w:lang w:val="hr-HR"/>
        </w:rPr>
        <w:t>prihoda za period 2024.-2026</w:t>
      </w:r>
      <w:r w:rsidR="00BD45A3" w:rsidRPr="00314FA4">
        <w:rPr>
          <w:rFonts w:ascii="Ebrima" w:hAnsi="Ebrima" w:cs="Calibri"/>
          <w:sz w:val="24"/>
          <w:szCs w:val="24"/>
          <w:lang w:val="hr-HR"/>
        </w:rPr>
        <w:t>. godina u najvećoj mjeri je pod uticajem trenutne situacije pro</w:t>
      </w:r>
      <w:r w:rsidR="000B0A00" w:rsidRPr="00314FA4">
        <w:rPr>
          <w:rFonts w:ascii="Ebrima" w:hAnsi="Ebrima" w:cs="Calibri"/>
          <w:sz w:val="24"/>
          <w:szCs w:val="24"/>
          <w:lang w:val="hr-HR"/>
        </w:rPr>
        <w:t xml:space="preserve">uzrokovane </w:t>
      </w:r>
      <w:r w:rsidR="002200A9" w:rsidRPr="00314FA4">
        <w:rPr>
          <w:rFonts w:ascii="Ebrima" w:hAnsi="Ebrima" w:cs="Calibri"/>
          <w:sz w:val="24"/>
          <w:szCs w:val="24"/>
          <w:lang w:val="hr-HR"/>
        </w:rPr>
        <w:t xml:space="preserve">snažnim poremećajem na tržištu posebice ekonomskih posljedica izazvanih ratom u Ukrajini </w:t>
      </w:r>
      <w:r w:rsidR="00DC71EF" w:rsidRPr="00314FA4">
        <w:rPr>
          <w:rFonts w:ascii="Ebrima" w:hAnsi="Ebrima" w:cs="Calibri"/>
          <w:sz w:val="24"/>
          <w:szCs w:val="24"/>
          <w:lang w:val="hr-HR"/>
        </w:rPr>
        <w:t xml:space="preserve">i </w:t>
      </w:r>
      <w:r w:rsidR="002200A9" w:rsidRPr="00314FA4">
        <w:rPr>
          <w:rFonts w:ascii="Ebrima" w:hAnsi="Ebrima" w:cs="Calibri"/>
          <w:sz w:val="24"/>
          <w:szCs w:val="24"/>
          <w:lang w:val="hr-HR"/>
        </w:rPr>
        <w:t xml:space="preserve">sankcijama prema </w:t>
      </w:r>
      <w:r w:rsidR="00DC71EF" w:rsidRPr="00314FA4">
        <w:rPr>
          <w:rFonts w:ascii="Ebrima" w:hAnsi="Ebrima" w:cs="Calibri"/>
          <w:sz w:val="24"/>
          <w:szCs w:val="24"/>
          <w:lang w:val="hr-HR"/>
        </w:rPr>
        <w:t>R</w:t>
      </w:r>
      <w:r w:rsidR="002200A9" w:rsidRPr="00314FA4">
        <w:rPr>
          <w:rFonts w:ascii="Ebrima" w:hAnsi="Ebrima" w:cs="Calibri"/>
          <w:sz w:val="24"/>
          <w:szCs w:val="24"/>
          <w:lang w:val="hr-HR"/>
        </w:rPr>
        <w:t>usij</w:t>
      </w:r>
      <w:r w:rsidR="00DC71EF" w:rsidRPr="00314FA4">
        <w:rPr>
          <w:rFonts w:ascii="Ebrima" w:hAnsi="Ebrima" w:cs="Calibri"/>
          <w:sz w:val="24"/>
          <w:szCs w:val="24"/>
          <w:lang w:val="hr-HR"/>
        </w:rPr>
        <w:t xml:space="preserve">oj federaciji </w:t>
      </w:r>
      <w:r w:rsidR="002200A9" w:rsidRPr="00314FA4">
        <w:rPr>
          <w:rFonts w:ascii="Ebrima" w:hAnsi="Ebrima" w:cs="Calibri"/>
          <w:sz w:val="24"/>
          <w:szCs w:val="24"/>
          <w:lang w:val="hr-HR"/>
        </w:rPr>
        <w:t>što se posebno odra</w:t>
      </w:r>
      <w:r w:rsidR="00DC71EF" w:rsidRPr="00314FA4">
        <w:rPr>
          <w:rFonts w:ascii="Ebrima" w:hAnsi="Ebrima" w:cs="Calibri"/>
          <w:sz w:val="24"/>
          <w:szCs w:val="24"/>
          <w:lang w:val="hr-HR"/>
        </w:rPr>
        <w:t>zilo narast cijena</w:t>
      </w:r>
      <w:r w:rsidR="002200A9" w:rsidRPr="00314FA4">
        <w:rPr>
          <w:rFonts w:ascii="Ebrima" w:hAnsi="Ebrima" w:cs="Calibri"/>
          <w:sz w:val="24"/>
          <w:szCs w:val="24"/>
          <w:lang w:val="hr-HR"/>
        </w:rPr>
        <w:t xml:space="preserve"> hrane i goriva</w:t>
      </w:r>
      <w:r w:rsidR="00073C1B" w:rsidRPr="00314FA4">
        <w:rPr>
          <w:rFonts w:ascii="Ebrima" w:hAnsi="Ebrima" w:cs="Calibri"/>
          <w:sz w:val="24"/>
          <w:szCs w:val="24"/>
          <w:lang w:val="hr-HR"/>
        </w:rPr>
        <w:t>,</w:t>
      </w:r>
      <w:r w:rsidR="002200A9" w:rsidRPr="00314FA4">
        <w:rPr>
          <w:rFonts w:ascii="Ebrima" w:hAnsi="Ebrima" w:cs="Calibri"/>
          <w:sz w:val="24"/>
          <w:szCs w:val="24"/>
          <w:lang w:val="hr-HR"/>
        </w:rPr>
        <w:t xml:space="preserve"> te je nakon posljedice pandemije</w:t>
      </w:r>
      <w:r w:rsidR="000B0A00" w:rsidRPr="00314FA4">
        <w:rPr>
          <w:rFonts w:ascii="Ebrima" w:hAnsi="Ebrima" w:cs="Calibri"/>
          <w:sz w:val="24"/>
          <w:szCs w:val="24"/>
          <w:lang w:val="hr-HR"/>
        </w:rPr>
        <w:t xml:space="preserve"> </w:t>
      </w:r>
      <w:r w:rsidR="00073C1B" w:rsidRPr="00314FA4">
        <w:rPr>
          <w:rFonts w:ascii="Ebrima" w:hAnsi="Ebrima" w:cs="Calibri"/>
          <w:sz w:val="24"/>
          <w:szCs w:val="24"/>
          <w:lang w:val="hr-HR"/>
        </w:rPr>
        <w:t xml:space="preserve">korona </w:t>
      </w:r>
      <w:r w:rsidR="000B0A00" w:rsidRPr="00314FA4">
        <w:rPr>
          <w:rFonts w:ascii="Ebrima" w:hAnsi="Ebrima" w:cs="Calibri"/>
          <w:sz w:val="24"/>
          <w:szCs w:val="24"/>
          <w:lang w:val="hr-HR"/>
        </w:rPr>
        <w:t xml:space="preserve">virusa </w:t>
      </w:r>
      <w:r w:rsidR="00A46A73" w:rsidRPr="00314FA4">
        <w:rPr>
          <w:rFonts w:ascii="Ebrima" w:hAnsi="Ebrima" w:cs="Calibri"/>
          <w:sz w:val="24"/>
          <w:szCs w:val="24"/>
          <w:lang w:val="hr-HR"/>
        </w:rPr>
        <w:t>koja je dovela do značajnog slabljenja ekonoms</w:t>
      </w:r>
      <w:r w:rsidR="00C23829" w:rsidRPr="00314FA4">
        <w:rPr>
          <w:rFonts w:ascii="Ebrima" w:hAnsi="Ebrima" w:cs="Calibri"/>
          <w:sz w:val="24"/>
          <w:szCs w:val="24"/>
          <w:lang w:val="hr-HR"/>
        </w:rPr>
        <w:t>kog rasta u Bosni i Hercegovini</w:t>
      </w:r>
      <w:r w:rsidR="002200A9" w:rsidRPr="00314FA4">
        <w:rPr>
          <w:rFonts w:ascii="Ebrima" w:hAnsi="Ebrima" w:cs="Calibri"/>
          <w:sz w:val="24"/>
          <w:szCs w:val="24"/>
          <w:lang w:val="hr-HR"/>
        </w:rPr>
        <w:t xml:space="preserve"> </w:t>
      </w:r>
      <w:r w:rsidR="009F27F2" w:rsidRPr="00314FA4">
        <w:rPr>
          <w:rFonts w:ascii="Ebrima" w:hAnsi="Ebrima" w:cs="Calibri"/>
          <w:sz w:val="24"/>
          <w:szCs w:val="24"/>
          <w:lang w:val="hr-HR"/>
        </w:rPr>
        <w:t xml:space="preserve">došlo </w:t>
      </w:r>
      <w:r w:rsidR="00E854F6" w:rsidRPr="00314FA4">
        <w:rPr>
          <w:rFonts w:ascii="Ebrima" w:hAnsi="Ebrima" w:cs="Calibri"/>
          <w:sz w:val="24"/>
          <w:szCs w:val="24"/>
          <w:lang w:val="hr-HR"/>
        </w:rPr>
        <w:t>je</w:t>
      </w:r>
      <w:r w:rsidR="00DC71EF" w:rsidRPr="00314FA4">
        <w:rPr>
          <w:rFonts w:ascii="Ebrima" w:hAnsi="Ebrima" w:cs="Calibri"/>
          <w:sz w:val="24"/>
          <w:szCs w:val="24"/>
          <w:lang w:val="hr-HR"/>
        </w:rPr>
        <w:t xml:space="preserve"> </w:t>
      </w:r>
      <w:r w:rsidR="009F27F2" w:rsidRPr="00314FA4">
        <w:rPr>
          <w:rFonts w:ascii="Ebrima" w:hAnsi="Ebrima" w:cs="Calibri"/>
          <w:sz w:val="24"/>
          <w:szCs w:val="24"/>
          <w:lang w:val="hr-HR"/>
        </w:rPr>
        <w:t>do inflacije i nesta</w:t>
      </w:r>
      <w:r w:rsidR="00DC71EF" w:rsidRPr="00314FA4">
        <w:rPr>
          <w:rFonts w:ascii="Ebrima" w:hAnsi="Ebrima" w:cs="Calibri"/>
          <w:sz w:val="24"/>
          <w:szCs w:val="24"/>
          <w:lang w:val="hr-HR"/>
        </w:rPr>
        <w:t>šice osnovih životnih namirnica</w:t>
      </w:r>
      <w:r w:rsidR="00E854F6" w:rsidRPr="00314FA4">
        <w:rPr>
          <w:rFonts w:ascii="Ebrima" w:hAnsi="Ebrima" w:cs="Calibri"/>
          <w:sz w:val="24"/>
          <w:szCs w:val="24"/>
          <w:lang w:val="hr-HR"/>
        </w:rPr>
        <w:t>,</w:t>
      </w:r>
      <w:r w:rsidR="00073C1B" w:rsidRPr="00314FA4">
        <w:rPr>
          <w:rFonts w:ascii="Ebrima" w:hAnsi="Ebrima" w:cs="Calibri"/>
          <w:sz w:val="24"/>
          <w:szCs w:val="24"/>
          <w:lang w:val="hr-HR"/>
        </w:rPr>
        <w:t xml:space="preserve"> te porasta cijena </w:t>
      </w:r>
      <w:r w:rsidR="009F27F2" w:rsidRPr="00314FA4">
        <w:rPr>
          <w:rFonts w:ascii="Ebrima" w:hAnsi="Ebrima" w:cs="Calibri"/>
          <w:sz w:val="24"/>
          <w:szCs w:val="24"/>
          <w:lang w:val="hr-HR"/>
        </w:rPr>
        <w:t xml:space="preserve">goriva i drugih energenata. </w:t>
      </w:r>
    </w:p>
    <w:p w:rsidR="00A46A73" w:rsidRPr="00314FA4" w:rsidRDefault="009F27F2" w:rsidP="00525560">
      <w:pPr>
        <w:jc w:val="both"/>
        <w:rPr>
          <w:rFonts w:ascii="Ebrima" w:hAnsi="Ebrima" w:cs="Calibri"/>
          <w:sz w:val="24"/>
          <w:szCs w:val="24"/>
          <w:lang w:val="hr-HR"/>
        </w:rPr>
      </w:pPr>
      <w:r w:rsidRPr="00314FA4">
        <w:rPr>
          <w:rFonts w:ascii="Ebrima" w:hAnsi="Ebrima" w:cs="Calibri"/>
          <w:sz w:val="24"/>
          <w:szCs w:val="24"/>
          <w:lang w:val="hr-HR"/>
        </w:rPr>
        <w:t xml:space="preserve">U cijelokupnom ekonomskom </w:t>
      </w:r>
      <w:r w:rsidR="00E3708F" w:rsidRPr="00314FA4">
        <w:rPr>
          <w:rFonts w:ascii="Ebrima" w:hAnsi="Ebrima" w:cs="Calibri"/>
          <w:sz w:val="24"/>
          <w:szCs w:val="24"/>
          <w:lang w:val="hr-HR"/>
        </w:rPr>
        <w:t>sistemu</w:t>
      </w:r>
      <w:r w:rsidRPr="00314FA4">
        <w:rPr>
          <w:rFonts w:ascii="Ebrima" w:hAnsi="Ebrima" w:cs="Calibri"/>
          <w:sz w:val="24"/>
          <w:szCs w:val="24"/>
          <w:lang w:val="hr-HR"/>
        </w:rPr>
        <w:t xml:space="preserve"> došlo je do značajnog povećanja Prihoda od PDV-</w:t>
      </w:r>
      <w:r w:rsidR="00073C1B" w:rsidRPr="00314FA4">
        <w:rPr>
          <w:rFonts w:ascii="Ebrima" w:hAnsi="Ebrima" w:cs="Calibri"/>
          <w:sz w:val="24"/>
          <w:szCs w:val="24"/>
          <w:lang w:val="hr-HR"/>
        </w:rPr>
        <w:t>sa posebnim akcentom na 2022. godinu u toku 2022. godine povećanjem cijena što direktno povećava prihode od PDV-a.  U</w:t>
      </w:r>
      <w:r w:rsidR="00A46A73" w:rsidRPr="00314FA4">
        <w:rPr>
          <w:rFonts w:ascii="Ebrima" w:hAnsi="Ebrima" w:cs="Calibri"/>
          <w:sz w:val="24"/>
          <w:szCs w:val="24"/>
          <w:lang w:val="hr-HR"/>
        </w:rPr>
        <w:t xml:space="preserve">zimajući u obzir stabilizacijske mjere </w:t>
      </w:r>
      <w:r w:rsidR="00E15252" w:rsidRPr="00314FA4">
        <w:rPr>
          <w:rFonts w:ascii="Ebrima" w:hAnsi="Ebrima" w:cs="Calibri"/>
          <w:sz w:val="24"/>
          <w:szCs w:val="24"/>
          <w:lang w:val="hr-HR"/>
        </w:rPr>
        <w:t xml:space="preserve">koje </w:t>
      </w:r>
      <w:r w:rsidR="00073C1B" w:rsidRPr="00314FA4">
        <w:rPr>
          <w:rFonts w:ascii="Ebrima" w:hAnsi="Ebrima" w:cs="Calibri"/>
          <w:sz w:val="24"/>
          <w:szCs w:val="24"/>
          <w:lang w:val="hr-HR"/>
        </w:rPr>
        <w:t xml:space="preserve">su </w:t>
      </w:r>
      <w:r w:rsidR="00E15252" w:rsidRPr="00314FA4">
        <w:rPr>
          <w:rFonts w:ascii="Ebrima" w:hAnsi="Ebrima" w:cs="Calibri"/>
          <w:sz w:val="24"/>
          <w:szCs w:val="24"/>
          <w:lang w:val="hr-HR"/>
        </w:rPr>
        <w:t xml:space="preserve">se </w:t>
      </w:r>
      <w:r w:rsidR="00A46A73" w:rsidRPr="00314FA4">
        <w:rPr>
          <w:rFonts w:ascii="Ebrima" w:hAnsi="Ebrima" w:cs="Calibri"/>
          <w:sz w:val="24"/>
          <w:szCs w:val="24"/>
          <w:lang w:val="hr-HR"/>
        </w:rPr>
        <w:t>pr</w:t>
      </w:r>
      <w:r w:rsidR="00073C1B" w:rsidRPr="00314FA4">
        <w:rPr>
          <w:rFonts w:ascii="Ebrima" w:hAnsi="Ebrima" w:cs="Calibri"/>
          <w:sz w:val="24"/>
          <w:szCs w:val="24"/>
          <w:lang w:val="hr-HR"/>
        </w:rPr>
        <w:t xml:space="preserve">eduzimale </w:t>
      </w:r>
      <w:r w:rsidR="00D37DA5" w:rsidRPr="00314FA4">
        <w:rPr>
          <w:rFonts w:ascii="Ebrima" w:hAnsi="Ebrima" w:cs="Calibri"/>
          <w:sz w:val="24"/>
          <w:szCs w:val="24"/>
          <w:lang w:val="hr-HR"/>
        </w:rPr>
        <w:t xml:space="preserve"> </w:t>
      </w:r>
      <w:r w:rsidR="00073C1B" w:rsidRPr="00314FA4">
        <w:rPr>
          <w:rFonts w:ascii="Ebrima" w:hAnsi="Ebrima" w:cs="Calibri"/>
          <w:sz w:val="24"/>
          <w:szCs w:val="24"/>
          <w:lang w:val="hr-HR"/>
        </w:rPr>
        <w:t>u Federaciji</w:t>
      </w:r>
      <w:r w:rsidR="00E15252" w:rsidRPr="00314FA4">
        <w:rPr>
          <w:rFonts w:ascii="Ebrima" w:hAnsi="Ebrima" w:cs="Calibri"/>
          <w:sz w:val="24"/>
          <w:szCs w:val="24"/>
          <w:lang w:val="hr-HR"/>
        </w:rPr>
        <w:t xml:space="preserve"> BiH</w:t>
      </w:r>
      <w:r w:rsidR="00073C1B" w:rsidRPr="00314FA4">
        <w:rPr>
          <w:rFonts w:ascii="Ebrima" w:hAnsi="Ebrima" w:cs="Calibri"/>
          <w:sz w:val="24"/>
          <w:szCs w:val="24"/>
          <w:lang w:val="hr-HR"/>
        </w:rPr>
        <w:t xml:space="preserve"> i Bosansko-podrinjskom kantonu</w:t>
      </w:r>
      <w:r w:rsidR="00A46A73" w:rsidRPr="00314FA4">
        <w:rPr>
          <w:rFonts w:ascii="Ebrima" w:hAnsi="Ebrima" w:cs="Calibri"/>
          <w:sz w:val="24"/>
          <w:szCs w:val="24"/>
          <w:lang w:val="hr-HR"/>
        </w:rPr>
        <w:t xml:space="preserve"> G</w:t>
      </w:r>
      <w:r w:rsidR="008E1AC5" w:rsidRPr="00314FA4">
        <w:rPr>
          <w:rFonts w:ascii="Ebrima" w:hAnsi="Ebrima" w:cs="Calibri"/>
          <w:sz w:val="24"/>
          <w:szCs w:val="24"/>
          <w:lang w:val="hr-HR"/>
        </w:rPr>
        <w:t>oražde moguće je da će doći</w:t>
      </w:r>
      <w:r w:rsidR="00DC71EF" w:rsidRPr="00314FA4">
        <w:rPr>
          <w:rFonts w:ascii="Ebrima" w:hAnsi="Ebrima" w:cs="Calibri"/>
          <w:sz w:val="24"/>
          <w:szCs w:val="24"/>
          <w:lang w:val="hr-HR"/>
        </w:rPr>
        <w:t xml:space="preserve"> do stabilizacije cijena i stagniranja PDV</w:t>
      </w:r>
      <w:r w:rsidR="00AA095A" w:rsidRPr="00314FA4">
        <w:rPr>
          <w:rFonts w:ascii="Ebrima" w:hAnsi="Ebrima" w:cs="Calibri"/>
          <w:sz w:val="24"/>
          <w:szCs w:val="24"/>
          <w:lang w:val="hr-HR"/>
        </w:rPr>
        <w:t xml:space="preserve">-a jer i ako je došlo do </w:t>
      </w:r>
      <w:r w:rsidR="00DC71EF" w:rsidRPr="00314FA4">
        <w:rPr>
          <w:rFonts w:ascii="Ebrima" w:hAnsi="Ebrima" w:cs="Calibri"/>
          <w:sz w:val="24"/>
          <w:szCs w:val="24"/>
          <w:lang w:val="hr-HR"/>
        </w:rPr>
        <w:t>povećan</w:t>
      </w:r>
      <w:r w:rsidR="00AA095A" w:rsidRPr="00314FA4">
        <w:rPr>
          <w:rFonts w:ascii="Ebrima" w:hAnsi="Ebrima" w:cs="Calibri"/>
          <w:sz w:val="24"/>
          <w:szCs w:val="24"/>
          <w:lang w:val="hr-HR"/>
        </w:rPr>
        <w:t>ja</w:t>
      </w:r>
      <w:r w:rsidR="00DC71EF" w:rsidRPr="00314FA4">
        <w:rPr>
          <w:rFonts w:ascii="Ebrima" w:hAnsi="Ebrima" w:cs="Calibri"/>
          <w:sz w:val="24"/>
          <w:szCs w:val="24"/>
          <w:lang w:val="hr-HR"/>
        </w:rPr>
        <w:t xml:space="preserve"> cijen</w:t>
      </w:r>
      <w:r w:rsidR="00AA095A" w:rsidRPr="00314FA4">
        <w:rPr>
          <w:rFonts w:ascii="Ebrima" w:hAnsi="Ebrima" w:cs="Calibri"/>
          <w:sz w:val="24"/>
          <w:szCs w:val="24"/>
          <w:lang w:val="hr-HR"/>
        </w:rPr>
        <w:t>a što direktno povećava prihode od PDV-a</w:t>
      </w:r>
      <w:r w:rsidR="00DC71EF" w:rsidRPr="00314FA4">
        <w:rPr>
          <w:rFonts w:ascii="Ebrima" w:hAnsi="Ebrima" w:cs="Calibri"/>
          <w:sz w:val="24"/>
          <w:szCs w:val="24"/>
          <w:lang w:val="hr-HR"/>
        </w:rPr>
        <w:t xml:space="preserve"> ipak kupovna moć je manja tako da</w:t>
      </w:r>
      <w:r w:rsidR="008E1AC5" w:rsidRPr="00314FA4">
        <w:rPr>
          <w:rFonts w:ascii="Ebrima" w:hAnsi="Ebrima" w:cs="Calibri"/>
          <w:sz w:val="24"/>
          <w:szCs w:val="24"/>
          <w:lang w:val="hr-HR"/>
        </w:rPr>
        <w:t xml:space="preserve"> postoji velika mogućnost da će se </w:t>
      </w:r>
      <w:r w:rsidR="00073C1B" w:rsidRPr="00314FA4">
        <w:rPr>
          <w:rFonts w:ascii="Ebrima" w:hAnsi="Ebrima" w:cs="Calibri"/>
          <w:sz w:val="24"/>
          <w:szCs w:val="24"/>
          <w:lang w:val="hr-HR"/>
        </w:rPr>
        <w:t xml:space="preserve"> PDV u toku 2023</w:t>
      </w:r>
      <w:r w:rsidR="00DC71EF" w:rsidRPr="00314FA4">
        <w:rPr>
          <w:rFonts w:ascii="Ebrima" w:hAnsi="Ebrima" w:cs="Calibri"/>
          <w:sz w:val="24"/>
          <w:szCs w:val="24"/>
          <w:lang w:val="hr-HR"/>
        </w:rPr>
        <w:t xml:space="preserve">. godine </w:t>
      </w:r>
      <w:r w:rsidR="008E1AC5" w:rsidRPr="00314FA4">
        <w:rPr>
          <w:rFonts w:ascii="Ebrima" w:hAnsi="Ebrima" w:cs="Calibri"/>
          <w:sz w:val="24"/>
          <w:szCs w:val="24"/>
          <w:lang w:val="hr-HR"/>
        </w:rPr>
        <w:t xml:space="preserve">kretati </w:t>
      </w:r>
      <w:r w:rsidR="00DC71EF" w:rsidRPr="00314FA4">
        <w:rPr>
          <w:rFonts w:ascii="Ebrima" w:hAnsi="Ebrima" w:cs="Calibri"/>
          <w:sz w:val="24"/>
          <w:szCs w:val="24"/>
          <w:lang w:val="hr-HR"/>
        </w:rPr>
        <w:t>u</w:t>
      </w:r>
      <w:r w:rsidR="00073C1B" w:rsidRPr="00314FA4">
        <w:rPr>
          <w:rFonts w:ascii="Ebrima" w:hAnsi="Ebrima" w:cs="Calibri"/>
          <w:sz w:val="24"/>
          <w:szCs w:val="24"/>
          <w:lang w:val="hr-HR"/>
        </w:rPr>
        <w:t xml:space="preserve"> slabijoj uzlaznoj putanji al u toku 2024 i 2025</w:t>
      </w:r>
      <w:r w:rsidR="00DC71EF" w:rsidRPr="00314FA4">
        <w:rPr>
          <w:rFonts w:ascii="Ebrima" w:hAnsi="Ebrima" w:cs="Calibri"/>
          <w:sz w:val="24"/>
          <w:szCs w:val="24"/>
          <w:lang w:val="hr-HR"/>
        </w:rPr>
        <w:t>. g</w:t>
      </w:r>
      <w:r w:rsidR="008E1AC5" w:rsidRPr="00314FA4">
        <w:rPr>
          <w:rFonts w:ascii="Ebrima" w:hAnsi="Ebrima" w:cs="Calibri"/>
          <w:sz w:val="24"/>
          <w:szCs w:val="24"/>
          <w:lang w:val="hr-HR"/>
        </w:rPr>
        <w:t>od</w:t>
      </w:r>
      <w:r w:rsidR="00DC71EF" w:rsidRPr="00314FA4">
        <w:rPr>
          <w:rFonts w:ascii="Ebrima" w:hAnsi="Ebrima" w:cs="Calibri"/>
          <w:sz w:val="24"/>
          <w:szCs w:val="24"/>
          <w:lang w:val="hr-HR"/>
        </w:rPr>
        <w:t xml:space="preserve">ine </w:t>
      </w:r>
      <w:r w:rsidR="007234E4" w:rsidRPr="00314FA4">
        <w:rPr>
          <w:rFonts w:ascii="Ebrima" w:hAnsi="Ebrima" w:cs="Calibri"/>
          <w:sz w:val="24"/>
          <w:szCs w:val="24"/>
          <w:lang w:val="hr-HR"/>
        </w:rPr>
        <w:t>smatramo da neće imati taj trend. U</w:t>
      </w:r>
      <w:r w:rsidR="008E1AC5" w:rsidRPr="00314FA4">
        <w:rPr>
          <w:rFonts w:ascii="Ebrima" w:hAnsi="Ebrima" w:cs="Calibri"/>
          <w:sz w:val="24"/>
          <w:szCs w:val="24"/>
          <w:lang w:val="hr-HR"/>
        </w:rPr>
        <w:t xml:space="preserve"> skla</w:t>
      </w:r>
      <w:r w:rsidR="007234E4" w:rsidRPr="00314FA4">
        <w:rPr>
          <w:rFonts w:ascii="Ebrima" w:hAnsi="Ebrima" w:cs="Calibri"/>
          <w:sz w:val="24"/>
          <w:szCs w:val="24"/>
          <w:lang w:val="hr-HR"/>
        </w:rPr>
        <w:t xml:space="preserve">du sa naprijed navedenim odnosno do </w:t>
      </w:r>
      <w:r w:rsidR="00D37DA5" w:rsidRPr="00314FA4">
        <w:rPr>
          <w:rFonts w:ascii="Ebrima" w:hAnsi="Ebrima" w:cs="Calibri"/>
          <w:sz w:val="24"/>
          <w:szCs w:val="24"/>
          <w:lang w:val="hr-HR"/>
        </w:rPr>
        <w:t>krajnje nepredvidivog</w:t>
      </w:r>
      <w:r w:rsidR="00A13D29" w:rsidRPr="00314FA4">
        <w:rPr>
          <w:rFonts w:ascii="Ebrima" w:hAnsi="Ebrima" w:cs="Calibri"/>
          <w:sz w:val="24"/>
          <w:szCs w:val="24"/>
          <w:lang w:val="hr-HR"/>
        </w:rPr>
        <w:t xml:space="preserve"> toka i dužine traja</w:t>
      </w:r>
      <w:r w:rsidR="00D37DA5" w:rsidRPr="00314FA4">
        <w:rPr>
          <w:rFonts w:ascii="Ebrima" w:hAnsi="Ebrima" w:cs="Calibri"/>
          <w:sz w:val="24"/>
          <w:szCs w:val="24"/>
          <w:lang w:val="hr-HR"/>
        </w:rPr>
        <w:t xml:space="preserve">nja </w:t>
      </w:r>
      <w:r w:rsidR="00DC71EF" w:rsidRPr="00314FA4">
        <w:rPr>
          <w:rFonts w:ascii="Ebrima" w:hAnsi="Ebrima" w:cs="Calibri"/>
          <w:sz w:val="24"/>
          <w:szCs w:val="24"/>
          <w:lang w:val="hr-HR"/>
        </w:rPr>
        <w:t>nestabilnosti</w:t>
      </w:r>
      <w:r w:rsidR="00A46A73" w:rsidRPr="00314FA4">
        <w:rPr>
          <w:rFonts w:ascii="Ebrima" w:hAnsi="Ebrima" w:cs="Calibri"/>
          <w:sz w:val="24"/>
          <w:szCs w:val="24"/>
          <w:lang w:val="hr-HR"/>
        </w:rPr>
        <w:t xml:space="preserve"> </w:t>
      </w:r>
      <w:r w:rsidR="00DC71EF" w:rsidRPr="00314FA4">
        <w:rPr>
          <w:rFonts w:ascii="Ebrima" w:hAnsi="Ebrima" w:cs="Calibri"/>
          <w:sz w:val="24"/>
          <w:szCs w:val="24"/>
          <w:lang w:val="hr-HR"/>
        </w:rPr>
        <w:t>i njenog</w:t>
      </w:r>
      <w:r w:rsidR="00D37DA5" w:rsidRPr="00314FA4">
        <w:rPr>
          <w:rFonts w:ascii="Ebrima" w:hAnsi="Ebrima" w:cs="Calibri"/>
          <w:sz w:val="24"/>
          <w:szCs w:val="24"/>
          <w:lang w:val="hr-HR"/>
        </w:rPr>
        <w:t xml:space="preserve"> </w:t>
      </w:r>
      <w:r w:rsidR="00A46A73" w:rsidRPr="00314FA4">
        <w:rPr>
          <w:rFonts w:ascii="Ebrima" w:hAnsi="Ebrima" w:cs="Calibri"/>
          <w:sz w:val="24"/>
          <w:szCs w:val="24"/>
          <w:lang w:val="hr-HR"/>
        </w:rPr>
        <w:t>krajnjeg djelovanja na globalnu i domaću ekonomiju, projekcije prihoda su rađene sa oprezno</w:t>
      </w:r>
      <w:r w:rsidR="00A46A73" w:rsidRPr="00314FA4">
        <w:rPr>
          <w:rFonts w:ascii="Ebrima" w:hAnsi="Ebrima" w:cs="Lucida Sans"/>
          <w:sz w:val="24"/>
          <w:szCs w:val="24"/>
          <w:lang w:val="hr-HR"/>
        </w:rPr>
        <w:t>š</w:t>
      </w:r>
      <w:r w:rsidR="00A46A73" w:rsidRPr="00314FA4">
        <w:rPr>
          <w:rFonts w:ascii="Ebrima" w:hAnsi="Ebrima" w:cs="Calibri"/>
          <w:sz w:val="24"/>
          <w:szCs w:val="24"/>
          <w:lang w:val="hr-HR"/>
        </w:rPr>
        <w:t>ću i bazirane na konzervativnom pristupu.</w:t>
      </w:r>
    </w:p>
    <w:p w:rsidR="00D37DA5" w:rsidRPr="00314FA4" w:rsidRDefault="00073C1B" w:rsidP="00525560">
      <w:pPr>
        <w:jc w:val="both"/>
        <w:rPr>
          <w:rFonts w:ascii="Ebrima" w:hAnsi="Ebrima" w:cs="Calibri"/>
          <w:sz w:val="24"/>
          <w:szCs w:val="24"/>
          <w:lang w:val="hr-HR"/>
        </w:rPr>
      </w:pPr>
      <w:r w:rsidRPr="00314FA4">
        <w:rPr>
          <w:rFonts w:ascii="Ebrima" w:hAnsi="Ebrima" w:cs="Calibri"/>
          <w:sz w:val="24"/>
          <w:szCs w:val="24"/>
          <w:lang w:val="hr-HR"/>
        </w:rPr>
        <w:t>Što se tiće domaćeg prostora</w:t>
      </w:r>
      <w:r w:rsidR="006D71FE" w:rsidRPr="00314FA4">
        <w:rPr>
          <w:rFonts w:ascii="Ebrima" w:hAnsi="Ebrima" w:cs="Calibri"/>
          <w:sz w:val="24"/>
          <w:szCs w:val="24"/>
          <w:lang w:val="hr-HR"/>
        </w:rPr>
        <w:t xml:space="preserve"> moguće je u fazama</w:t>
      </w:r>
      <w:r w:rsidRPr="00314FA4">
        <w:rPr>
          <w:rFonts w:ascii="Ebrima" w:hAnsi="Ebrima" w:cs="Calibri"/>
          <w:sz w:val="24"/>
          <w:szCs w:val="24"/>
          <w:lang w:val="hr-HR"/>
        </w:rPr>
        <w:t xml:space="preserve">, a u skladu sa razvojem situacije, </w:t>
      </w:r>
      <w:r w:rsidR="006D71FE" w:rsidRPr="00314FA4">
        <w:rPr>
          <w:rFonts w:ascii="Ebrima" w:hAnsi="Ebrima" w:cs="Calibri"/>
          <w:sz w:val="24"/>
          <w:szCs w:val="24"/>
          <w:lang w:val="hr-HR"/>
        </w:rPr>
        <w:t xml:space="preserve"> donošenje novih mjera u</w:t>
      </w:r>
      <w:r w:rsidR="00697C58" w:rsidRPr="00314FA4">
        <w:rPr>
          <w:rFonts w:ascii="Ebrima" w:hAnsi="Ebrima" w:cs="Calibri"/>
          <w:sz w:val="24"/>
          <w:szCs w:val="24"/>
          <w:lang w:val="hr-HR"/>
        </w:rPr>
        <w:t>nutar fiskalne politike</w:t>
      </w:r>
      <w:r w:rsidR="006D71FE" w:rsidRPr="00314FA4">
        <w:rPr>
          <w:rFonts w:ascii="Ebrima" w:hAnsi="Ebrima" w:cs="Calibri"/>
          <w:sz w:val="24"/>
          <w:szCs w:val="24"/>
          <w:lang w:val="hr-HR"/>
        </w:rPr>
        <w:t xml:space="preserve"> koje mogu dovesti do drugači</w:t>
      </w:r>
      <w:r w:rsidR="00B87940" w:rsidRPr="00314FA4">
        <w:rPr>
          <w:rFonts w:ascii="Ebrima" w:hAnsi="Ebrima" w:cs="Calibri"/>
          <w:sz w:val="24"/>
          <w:szCs w:val="24"/>
          <w:lang w:val="hr-HR"/>
        </w:rPr>
        <w:t>jih ishoda od trenutno pretpost</w:t>
      </w:r>
      <w:r w:rsidR="006D71FE" w:rsidRPr="00314FA4">
        <w:rPr>
          <w:rFonts w:ascii="Ebrima" w:hAnsi="Ebrima" w:cs="Calibri"/>
          <w:sz w:val="24"/>
          <w:szCs w:val="24"/>
          <w:lang w:val="hr-HR"/>
        </w:rPr>
        <w:t xml:space="preserve">avljenih. </w:t>
      </w:r>
    </w:p>
    <w:p w:rsidR="0040112E" w:rsidRPr="00314FA4" w:rsidRDefault="0040112E" w:rsidP="00525560">
      <w:pPr>
        <w:spacing w:after="0" w:line="240" w:lineRule="auto"/>
        <w:contextualSpacing/>
        <w:jc w:val="both"/>
        <w:rPr>
          <w:rFonts w:ascii="Ebrima" w:eastAsia="Times New Roman" w:hAnsi="Ebrima" w:cs="Times New Roman"/>
          <w:sz w:val="24"/>
          <w:szCs w:val="24"/>
          <w:lang w:val="hr-HR"/>
        </w:rPr>
      </w:pPr>
      <w:r w:rsidRPr="00314FA4">
        <w:rPr>
          <w:rFonts w:ascii="Ebrima" w:eastAsia="Times New Roman" w:hAnsi="Ebrima" w:cs="Times New Roman"/>
          <w:sz w:val="24"/>
          <w:szCs w:val="24"/>
          <w:lang w:val="hr-HR"/>
        </w:rPr>
        <w:t xml:space="preserve">Projekcije prihoda Bosansko-podrinjskog kantona Goražde za period </w:t>
      </w:r>
      <w:r w:rsidR="00D74819" w:rsidRPr="00314FA4">
        <w:rPr>
          <w:rFonts w:ascii="Ebrima" w:eastAsia="Times New Roman" w:hAnsi="Ebrima" w:cs="Times New Roman"/>
          <w:sz w:val="24"/>
          <w:szCs w:val="24"/>
          <w:lang w:val="hr-HR"/>
        </w:rPr>
        <w:t>2024-2026</w:t>
      </w:r>
      <w:r w:rsidRPr="00314FA4">
        <w:rPr>
          <w:rFonts w:ascii="Ebrima" w:eastAsia="Times New Roman" w:hAnsi="Ebrima" w:cs="Times New Roman"/>
          <w:sz w:val="24"/>
          <w:szCs w:val="24"/>
          <w:lang w:val="hr-HR"/>
        </w:rPr>
        <w:t xml:space="preserve">. godina rađene su na osnovu </w:t>
      </w:r>
      <w:r w:rsidR="0085625D" w:rsidRPr="00314FA4">
        <w:rPr>
          <w:rFonts w:ascii="Ebrima" w:eastAsia="Times New Roman" w:hAnsi="Ebrima" w:cs="Times New Roman"/>
          <w:sz w:val="24"/>
          <w:szCs w:val="24"/>
          <w:lang w:val="hr-HR"/>
        </w:rPr>
        <w:t>zadnje dostavljenih smjernica</w:t>
      </w:r>
      <w:r w:rsidRPr="00314FA4">
        <w:rPr>
          <w:rFonts w:ascii="Ebrima" w:eastAsia="Times New Roman" w:hAnsi="Ebrima" w:cs="Times New Roman"/>
          <w:sz w:val="24"/>
          <w:szCs w:val="24"/>
          <w:lang w:val="hr-HR"/>
        </w:rPr>
        <w:t xml:space="preserve"> od strane Federalnog ministarstva finansija. </w:t>
      </w:r>
    </w:p>
    <w:p w:rsidR="008E1AC5" w:rsidRPr="00314FA4" w:rsidRDefault="008E1AC5" w:rsidP="00525560">
      <w:pPr>
        <w:spacing w:after="0" w:line="240" w:lineRule="auto"/>
        <w:contextualSpacing/>
        <w:jc w:val="both"/>
        <w:rPr>
          <w:rFonts w:ascii="Ebrima" w:eastAsia="Times New Roman" w:hAnsi="Ebrima" w:cs="Times New Roman"/>
          <w:sz w:val="24"/>
          <w:szCs w:val="24"/>
          <w:lang w:val="hr-HR"/>
        </w:rPr>
      </w:pPr>
    </w:p>
    <w:p w:rsidR="0040112E" w:rsidRPr="00314FA4" w:rsidRDefault="0040112E" w:rsidP="00525560">
      <w:pPr>
        <w:spacing w:after="0" w:line="240" w:lineRule="auto"/>
        <w:contextualSpacing/>
        <w:jc w:val="both"/>
        <w:rPr>
          <w:rFonts w:ascii="Ebrima" w:eastAsia="Times New Roman" w:hAnsi="Ebrima" w:cs="Times New Roman"/>
          <w:b/>
          <w:sz w:val="24"/>
          <w:szCs w:val="24"/>
          <w:lang w:val="hr-HR"/>
        </w:rPr>
      </w:pPr>
      <w:r w:rsidRPr="00314FA4">
        <w:rPr>
          <w:rFonts w:ascii="Ebrima" w:eastAsia="Times New Roman" w:hAnsi="Ebrima" w:cs="Times New Roman"/>
          <w:sz w:val="24"/>
          <w:szCs w:val="24"/>
          <w:lang w:val="hr-HR"/>
        </w:rPr>
        <w:t>Na bazi dostavljenih projekcija od strane Federalnog ministarstva za finansije Bosne i Hercegovine</w:t>
      </w:r>
      <w:r w:rsidR="00347E64" w:rsidRPr="00314FA4">
        <w:rPr>
          <w:rFonts w:ascii="Ebrima" w:eastAsia="Times New Roman" w:hAnsi="Ebrima" w:cs="Times New Roman"/>
          <w:sz w:val="24"/>
          <w:szCs w:val="24"/>
          <w:lang w:val="hr-HR"/>
        </w:rPr>
        <w:t xml:space="preserve"> iz </w:t>
      </w:r>
      <w:r w:rsidR="00D74819" w:rsidRPr="00314FA4">
        <w:rPr>
          <w:rFonts w:ascii="Ebrima" w:eastAsia="Times New Roman" w:hAnsi="Ebrima" w:cs="Times New Roman"/>
          <w:sz w:val="24"/>
          <w:szCs w:val="24"/>
          <w:lang w:val="hr-HR"/>
        </w:rPr>
        <w:t>novembra 2022</w:t>
      </w:r>
      <w:r w:rsidR="00FC55DD" w:rsidRPr="00314FA4">
        <w:rPr>
          <w:rFonts w:ascii="Ebrima" w:eastAsia="Times New Roman" w:hAnsi="Ebrima" w:cs="Times New Roman"/>
          <w:sz w:val="24"/>
          <w:szCs w:val="24"/>
          <w:lang w:val="hr-HR"/>
        </w:rPr>
        <w:t>. godine</w:t>
      </w:r>
      <w:r w:rsidRPr="00314FA4">
        <w:rPr>
          <w:rFonts w:ascii="Ebrima" w:eastAsia="Times New Roman" w:hAnsi="Ebrima" w:cs="Times New Roman"/>
          <w:sz w:val="24"/>
          <w:szCs w:val="24"/>
          <w:lang w:val="hr-HR"/>
        </w:rPr>
        <w:t>, kao i pokazatelja kretanja prihoda Kantona u prethodnom periodu</w:t>
      </w:r>
      <w:r w:rsidR="00D74819" w:rsidRPr="00314FA4">
        <w:rPr>
          <w:rFonts w:ascii="Ebrima" w:eastAsia="Times New Roman" w:hAnsi="Ebrima" w:cs="Times New Roman"/>
          <w:sz w:val="24"/>
          <w:szCs w:val="24"/>
          <w:lang w:val="hr-HR"/>
        </w:rPr>
        <w:t xml:space="preserve"> posebno sa osvrtom na 2022</w:t>
      </w:r>
      <w:r w:rsidR="00FC55DD" w:rsidRPr="00314FA4">
        <w:rPr>
          <w:rFonts w:ascii="Ebrima" w:eastAsia="Times New Roman" w:hAnsi="Ebrima" w:cs="Times New Roman"/>
          <w:sz w:val="24"/>
          <w:szCs w:val="24"/>
          <w:lang w:val="hr-HR"/>
        </w:rPr>
        <w:t>. godinu</w:t>
      </w:r>
      <w:r w:rsidR="007D3ECA" w:rsidRPr="00314FA4">
        <w:rPr>
          <w:rFonts w:ascii="Ebrima" w:eastAsia="Times New Roman" w:hAnsi="Ebrima" w:cs="Times New Roman"/>
          <w:sz w:val="24"/>
          <w:szCs w:val="24"/>
          <w:lang w:val="hr-HR"/>
        </w:rPr>
        <w:t>,</w:t>
      </w:r>
      <w:r w:rsidR="00FC55DD" w:rsidRPr="00314FA4">
        <w:rPr>
          <w:rFonts w:ascii="Ebrima" w:eastAsia="Times New Roman" w:hAnsi="Ebrima" w:cs="Times New Roman"/>
          <w:sz w:val="24"/>
          <w:szCs w:val="24"/>
          <w:lang w:val="hr-HR"/>
        </w:rPr>
        <w:t xml:space="preserve"> te I</w:t>
      </w:r>
      <w:r w:rsidR="00A13D29" w:rsidRPr="00314FA4">
        <w:rPr>
          <w:rFonts w:ascii="Ebrima" w:eastAsia="Times New Roman" w:hAnsi="Ebrima" w:cs="Times New Roman"/>
          <w:sz w:val="24"/>
          <w:szCs w:val="24"/>
          <w:lang w:val="hr-HR"/>
        </w:rPr>
        <w:t>-</w:t>
      </w:r>
      <w:r w:rsidR="00D74819" w:rsidRPr="00314FA4">
        <w:rPr>
          <w:rFonts w:ascii="Ebrima" w:eastAsia="Times New Roman" w:hAnsi="Ebrima" w:cs="Times New Roman"/>
          <w:sz w:val="24"/>
          <w:szCs w:val="24"/>
          <w:lang w:val="hr-HR"/>
        </w:rPr>
        <w:t>kvartal 2023</w:t>
      </w:r>
      <w:r w:rsidR="00FC55DD" w:rsidRPr="00314FA4">
        <w:rPr>
          <w:rFonts w:ascii="Ebrima" w:eastAsia="Times New Roman" w:hAnsi="Ebrima" w:cs="Times New Roman"/>
          <w:sz w:val="24"/>
          <w:szCs w:val="24"/>
          <w:lang w:val="hr-HR"/>
        </w:rPr>
        <w:t>. godine.</w:t>
      </w:r>
      <w:r w:rsidRPr="00314FA4">
        <w:rPr>
          <w:rFonts w:ascii="Ebrima" w:eastAsia="Times New Roman" w:hAnsi="Ebrima" w:cs="Times New Roman"/>
          <w:sz w:val="24"/>
          <w:szCs w:val="24"/>
          <w:lang w:val="hr-HR"/>
        </w:rPr>
        <w:t xml:space="preserve"> Ministarstvo za finansije Bosansko-podrinjskog kantona Goražde je uradilo projekcije prihoda Bosansko-podrinjskog k</w:t>
      </w:r>
      <w:r w:rsidR="00D74819" w:rsidRPr="00314FA4">
        <w:rPr>
          <w:rFonts w:ascii="Ebrima" w:eastAsia="Times New Roman" w:hAnsi="Ebrima" w:cs="Times New Roman"/>
          <w:sz w:val="24"/>
          <w:szCs w:val="24"/>
          <w:lang w:val="hr-HR"/>
        </w:rPr>
        <w:t>antona Goražde za period 2024</w:t>
      </w:r>
      <w:r w:rsidRPr="00314FA4">
        <w:rPr>
          <w:rFonts w:ascii="Ebrima" w:eastAsia="Times New Roman" w:hAnsi="Ebrima" w:cs="Times New Roman"/>
          <w:sz w:val="24"/>
          <w:szCs w:val="24"/>
          <w:lang w:val="hr-HR"/>
        </w:rPr>
        <w:t>.-</w:t>
      </w:r>
      <w:r w:rsidR="00D74819" w:rsidRPr="00314FA4">
        <w:rPr>
          <w:rFonts w:ascii="Ebrima" w:eastAsia="Times New Roman" w:hAnsi="Ebrima" w:cs="Times New Roman"/>
          <w:sz w:val="24"/>
          <w:szCs w:val="24"/>
          <w:lang w:val="hr-HR"/>
        </w:rPr>
        <w:t>2026</w:t>
      </w:r>
      <w:r w:rsidRPr="00314FA4">
        <w:rPr>
          <w:rFonts w:ascii="Ebrima" w:eastAsia="Times New Roman" w:hAnsi="Ebrima" w:cs="Times New Roman"/>
          <w:sz w:val="24"/>
          <w:szCs w:val="24"/>
          <w:lang w:val="hr-HR"/>
        </w:rPr>
        <w:t>. godine.</w:t>
      </w:r>
      <w:r w:rsidRPr="00314FA4">
        <w:rPr>
          <w:rFonts w:ascii="Ebrima" w:eastAsia="Times New Roman" w:hAnsi="Ebrima" w:cs="Times New Roman"/>
          <w:sz w:val="24"/>
          <w:szCs w:val="24"/>
          <w:vertAlign w:val="superscript"/>
          <w:lang w:val="hr-HR"/>
        </w:rPr>
        <w:footnoteReference w:id="6"/>
      </w:r>
      <w:r w:rsidRPr="00314FA4">
        <w:rPr>
          <w:rFonts w:ascii="Ebrima" w:eastAsia="Times New Roman" w:hAnsi="Ebrima" w:cs="Times New Roman"/>
          <w:b/>
          <w:sz w:val="24"/>
          <w:szCs w:val="24"/>
          <w:lang w:val="hr-HR"/>
        </w:rPr>
        <w:t xml:space="preserve">           </w:t>
      </w:r>
    </w:p>
    <w:tbl>
      <w:tblPr>
        <w:tblW w:w="9284" w:type="dxa"/>
        <w:tblInd w:w="118" w:type="dxa"/>
        <w:tblLook w:val="04A0" w:firstRow="1" w:lastRow="0" w:firstColumn="1" w:lastColumn="0" w:noHBand="0" w:noVBand="1"/>
      </w:tblPr>
      <w:tblGrid>
        <w:gridCol w:w="4736"/>
        <w:gridCol w:w="1581"/>
        <w:gridCol w:w="1511"/>
        <w:gridCol w:w="1456"/>
      </w:tblGrid>
      <w:tr w:rsidR="00314FA4" w:rsidRPr="00314FA4" w:rsidTr="00C97B20">
        <w:trPr>
          <w:trHeight w:val="255"/>
        </w:trPr>
        <w:tc>
          <w:tcPr>
            <w:tcW w:w="9284" w:type="dxa"/>
            <w:gridSpan w:val="4"/>
            <w:tcBorders>
              <w:top w:val="single" w:sz="4" w:space="0" w:color="auto"/>
              <w:left w:val="single" w:sz="4" w:space="0" w:color="auto"/>
              <w:bottom w:val="nil"/>
              <w:right w:val="single" w:sz="4" w:space="0" w:color="auto"/>
            </w:tcBorders>
            <w:shd w:val="clear" w:color="000000" w:fill="D9D9D9"/>
            <w:noWrap/>
            <w:vAlign w:val="center"/>
            <w:hideMark/>
          </w:tcPr>
          <w:p w:rsidR="0040112E" w:rsidRPr="00314FA4" w:rsidRDefault="0040112E" w:rsidP="003B77B0">
            <w:pPr>
              <w:spacing w:after="0" w:line="240" w:lineRule="auto"/>
              <w:jc w:val="both"/>
              <w:rPr>
                <w:rFonts w:ascii="Ebrima" w:eastAsia="Times New Roman" w:hAnsi="Ebrima" w:cs="Times New Roman"/>
                <w:b/>
                <w:bCs/>
                <w:sz w:val="24"/>
                <w:szCs w:val="24"/>
              </w:rPr>
            </w:pPr>
            <w:r w:rsidRPr="00314FA4">
              <w:rPr>
                <w:rFonts w:ascii="Ebrima" w:eastAsia="Times New Roman" w:hAnsi="Ebrima" w:cs="Times New Roman"/>
                <w:b/>
                <w:bCs/>
                <w:sz w:val="24"/>
                <w:szCs w:val="24"/>
              </w:rPr>
              <w:lastRenderedPageBreak/>
              <w:t xml:space="preserve">PRIHODI </w:t>
            </w:r>
          </w:p>
        </w:tc>
      </w:tr>
      <w:tr w:rsidR="00314FA4" w:rsidRPr="00314FA4" w:rsidTr="00C97B20">
        <w:trPr>
          <w:trHeight w:val="270"/>
        </w:trPr>
        <w:tc>
          <w:tcPr>
            <w:tcW w:w="9284" w:type="dxa"/>
            <w:gridSpan w:val="4"/>
            <w:tcBorders>
              <w:top w:val="nil"/>
              <w:left w:val="single" w:sz="4" w:space="0" w:color="auto"/>
              <w:bottom w:val="single" w:sz="8" w:space="0" w:color="auto"/>
              <w:right w:val="single" w:sz="4" w:space="0" w:color="auto"/>
            </w:tcBorders>
            <w:shd w:val="clear" w:color="000000" w:fill="D9D9D9"/>
            <w:noWrap/>
            <w:vAlign w:val="center"/>
            <w:hideMark/>
          </w:tcPr>
          <w:p w:rsidR="0040112E" w:rsidRPr="00314FA4" w:rsidRDefault="0040112E" w:rsidP="00525560">
            <w:pPr>
              <w:spacing w:after="0" w:line="240" w:lineRule="auto"/>
              <w:jc w:val="both"/>
              <w:rPr>
                <w:rFonts w:ascii="Ebrima" w:eastAsia="Times New Roman" w:hAnsi="Ebrima" w:cs="Times New Roman"/>
                <w:sz w:val="24"/>
                <w:szCs w:val="24"/>
              </w:rPr>
            </w:pPr>
            <w:r w:rsidRPr="00314FA4">
              <w:rPr>
                <w:rFonts w:ascii="Ebrima" w:eastAsia="Times New Roman" w:hAnsi="Ebrima" w:cs="Times New Roman"/>
                <w:sz w:val="24"/>
                <w:szCs w:val="24"/>
              </w:rPr>
              <w:t> </w:t>
            </w:r>
          </w:p>
        </w:tc>
      </w:tr>
      <w:tr w:rsidR="00314FA4" w:rsidRPr="00314FA4" w:rsidTr="00835DD7">
        <w:trPr>
          <w:trHeight w:val="255"/>
        </w:trPr>
        <w:tc>
          <w:tcPr>
            <w:tcW w:w="4736" w:type="dxa"/>
            <w:tcBorders>
              <w:top w:val="nil"/>
              <w:left w:val="single" w:sz="4" w:space="0" w:color="auto"/>
              <w:bottom w:val="nil"/>
              <w:right w:val="single" w:sz="8" w:space="0" w:color="auto"/>
            </w:tcBorders>
            <w:shd w:val="clear" w:color="000000" w:fill="D9D9D9"/>
            <w:noWrap/>
            <w:vAlign w:val="center"/>
            <w:hideMark/>
          </w:tcPr>
          <w:p w:rsidR="00C97B20" w:rsidRPr="00314FA4" w:rsidRDefault="00C97B20" w:rsidP="00525560">
            <w:pPr>
              <w:spacing w:after="0" w:line="240" w:lineRule="auto"/>
              <w:jc w:val="both"/>
              <w:rPr>
                <w:rFonts w:ascii="Ebrima" w:eastAsia="Times New Roman" w:hAnsi="Ebrima" w:cs="Times New Roman"/>
                <w:b/>
                <w:bCs/>
                <w:sz w:val="24"/>
                <w:szCs w:val="24"/>
              </w:rPr>
            </w:pPr>
            <w:r w:rsidRPr="00314FA4">
              <w:rPr>
                <w:rFonts w:ascii="Ebrima" w:eastAsia="Times New Roman" w:hAnsi="Ebrima" w:cs="Times New Roman"/>
                <w:b/>
                <w:bCs/>
                <w:sz w:val="24"/>
                <w:szCs w:val="24"/>
              </w:rPr>
              <w:t> </w:t>
            </w:r>
          </w:p>
        </w:tc>
        <w:tc>
          <w:tcPr>
            <w:tcW w:w="1581" w:type="dxa"/>
            <w:tcBorders>
              <w:top w:val="nil"/>
              <w:left w:val="nil"/>
              <w:bottom w:val="nil"/>
              <w:right w:val="single" w:sz="8" w:space="0" w:color="auto"/>
            </w:tcBorders>
            <w:shd w:val="clear" w:color="000000" w:fill="D9D9D9"/>
            <w:noWrap/>
            <w:vAlign w:val="center"/>
            <w:hideMark/>
          </w:tcPr>
          <w:p w:rsidR="00C97B20" w:rsidRPr="00314FA4" w:rsidRDefault="00C97B20" w:rsidP="00525560">
            <w:pPr>
              <w:spacing w:after="0" w:line="240" w:lineRule="auto"/>
              <w:jc w:val="both"/>
              <w:rPr>
                <w:rFonts w:ascii="Ebrima" w:eastAsia="Times New Roman" w:hAnsi="Ebrima" w:cs="Times New Roman"/>
                <w:b/>
                <w:bCs/>
                <w:sz w:val="24"/>
                <w:szCs w:val="24"/>
              </w:rPr>
            </w:pPr>
            <w:r w:rsidRPr="00314FA4">
              <w:rPr>
                <w:rFonts w:ascii="Ebrima" w:eastAsia="Times New Roman" w:hAnsi="Ebrima" w:cs="Times New Roman"/>
                <w:b/>
                <w:bCs/>
                <w:sz w:val="24"/>
                <w:szCs w:val="24"/>
              </w:rPr>
              <w:t xml:space="preserve">BUDŽET </w:t>
            </w:r>
          </w:p>
        </w:tc>
        <w:tc>
          <w:tcPr>
            <w:tcW w:w="1511" w:type="dxa"/>
            <w:tcBorders>
              <w:top w:val="nil"/>
              <w:left w:val="nil"/>
              <w:bottom w:val="nil"/>
              <w:right w:val="single" w:sz="8" w:space="0" w:color="auto"/>
            </w:tcBorders>
            <w:shd w:val="clear" w:color="000000" w:fill="D9D9D9"/>
            <w:noWrap/>
            <w:vAlign w:val="center"/>
            <w:hideMark/>
          </w:tcPr>
          <w:p w:rsidR="00C97B20" w:rsidRPr="00314FA4" w:rsidRDefault="00C97B20" w:rsidP="00525560">
            <w:pPr>
              <w:spacing w:after="0" w:line="240" w:lineRule="auto"/>
              <w:jc w:val="both"/>
              <w:rPr>
                <w:rFonts w:ascii="Ebrima" w:eastAsia="Times New Roman" w:hAnsi="Ebrima" w:cs="Times New Roman"/>
                <w:b/>
                <w:bCs/>
                <w:sz w:val="24"/>
                <w:szCs w:val="24"/>
              </w:rPr>
            </w:pPr>
            <w:r w:rsidRPr="00314FA4">
              <w:rPr>
                <w:rFonts w:ascii="Ebrima" w:eastAsia="Times New Roman" w:hAnsi="Ebrima" w:cs="Times New Roman"/>
                <w:b/>
                <w:bCs/>
                <w:sz w:val="24"/>
                <w:szCs w:val="24"/>
              </w:rPr>
              <w:t xml:space="preserve">BUDŽET </w:t>
            </w:r>
          </w:p>
        </w:tc>
        <w:tc>
          <w:tcPr>
            <w:tcW w:w="1456" w:type="dxa"/>
            <w:tcBorders>
              <w:top w:val="nil"/>
              <w:left w:val="nil"/>
              <w:bottom w:val="nil"/>
              <w:right w:val="single" w:sz="4" w:space="0" w:color="auto"/>
            </w:tcBorders>
            <w:shd w:val="clear" w:color="000000" w:fill="D9D9D9"/>
            <w:noWrap/>
            <w:vAlign w:val="center"/>
            <w:hideMark/>
          </w:tcPr>
          <w:p w:rsidR="00C97B20" w:rsidRPr="00314FA4" w:rsidRDefault="00C97B20" w:rsidP="00525560">
            <w:pPr>
              <w:spacing w:after="0" w:line="240" w:lineRule="auto"/>
              <w:jc w:val="both"/>
              <w:rPr>
                <w:rFonts w:ascii="Ebrima" w:eastAsia="Times New Roman" w:hAnsi="Ebrima" w:cs="Times New Roman"/>
                <w:b/>
                <w:bCs/>
                <w:sz w:val="24"/>
                <w:szCs w:val="24"/>
              </w:rPr>
            </w:pPr>
            <w:r w:rsidRPr="00314FA4">
              <w:rPr>
                <w:rFonts w:ascii="Ebrima" w:eastAsia="Times New Roman" w:hAnsi="Ebrima" w:cs="Times New Roman"/>
                <w:b/>
                <w:bCs/>
                <w:sz w:val="24"/>
                <w:szCs w:val="24"/>
              </w:rPr>
              <w:t xml:space="preserve">BUDŽET </w:t>
            </w:r>
          </w:p>
        </w:tc>
      </w:tr>
      <w:tr w:rsidR="00314FA4" w:rsidRPr="00314FA4" w:rsidTr="00835DD7">
        <w:trPr>
          <w:trHeight w:val="435"/>
        </w:trPr>
        <w:tc>
          <w:tcPr>
            <w:tcW w:w="4736" w:type="dxa"/>
            <w:tcBorders>
              <w:top w:val="nil"/>
              <w:left w:val="single" w:sz="4" w:space="0" w:color="auto"/>
              <w:bottom w:val="nil"/>
              <w:right w:val="single" w:sz="8" w:space="0" w:color="auto"/>
            </w:tcBorders>
            <w:shd w:val="clear" w:color="000000" w:fill="D9D9D9"/>
            <w:noWrap/>
            <w:vAlign w:val="center"/>
            <w:hideMark/>
          </w:tcPr>
          <w:p w:rsidR="00C97B20" w:rsidRPr="00314FA4" w:rsidRDefault="00C97B20" w:rsidP="00525560">
            <w:pPr>
              <w:spacing w:after="0" w:line="240" w:lineRule="auto"/>
              <w:jc w:val="both"/>
              <w:rPr>
                <w:rFonts w:ascii="Ebrima" w:eastAsia="Times New Roman" w:hAnsi="Ebrima" w:cs="Times New Roman"/>
                <w:b/>
                <w:bCs/>
                <w:sz w:val="24"/>
                <w:szCs w:val="24"/>
              </w:rPr>
            </w:pPr>
            <w:r w:rsidRPr="00314FA4">
              <w:rPr>
                <w:rFonts w:ascii="Ebrima" w:eastAsia="Times New Roman" w:hAnsi="Ebrima" w:cs="Times New Roman"/>
                <w:b/>
                <w:bCs/>
                <w:sz w:val="24"/>
                <w:szCs w:val="24"/>
              </w:rPr>
              <w:t>OPIS</w:t>
            </w:r>
          </w:p>
        </w:tc>
        <w:tc>
          <w:tcPr>
            <w:tcW w:w="1581" w:type="dxa"/>
            <w:tcBorders>
              <w:top w:val="nil"/>
              <w:left w:val="nil"/>
              <w:bottom w:val="nil"/>
              <w:right w:val="single" w:sz="8" w:space="0" w:color="auto"/>
            </w:tcBorders>
            <w:shd w:val="clear" w:color="000000" w:fill="D9D9D9"/>
            <w:vAlign w:val="center"/>
            <w:hideMark/>
          </w:tcPr>
          <w:p w:rsidR="00C97B20" w:rsidRPr="00314FA4" w:rsidRDefault="00343DAA" w:rsidP="000D7EA7">
            <w:pPr>
              <w:spacing w:after="0" w:line="240" w:lineRule="auto"/>
              <w:rPr>
                <w:rFonts w:ascii="Ebrima" w:eastAsia="Times New Roman" w:hAnsi="Ebrima" w:cs="Times New Roman"/>
                <w:b/>
                <w:bCs/>
                <w:sz w:val="24"/>
                <w:szCs w:val="24"/>
              </w:rPr>
            </w:pPr>
            <w:r w:rsidRPr="00314FA4">
              <w:rPr>
                <w:rFonts w:ascii="Ebrima" w:eastAsia="Times New Roman" w:hAnsi="Ebrima" w:cs="Times New Roman"/>
                <w:b/>
                <w:bCs/>
                <w:sz w:val="24"/>
                <w:szCs w:val="24"/>
              </w:rPr>
              <w:t>ZA 2024</w:t>
            </w:r>
            <w:r w:rsidR="00C97B20" w:rsidRPr="00314FA4">
              <w:rPr>
                <w:rFonts w:ascii="Ebrima" w:eastAsia="Times New Roman" w:hAnsi="Ebrima" w:cs="Times New Roman"/>
                <w:b/>
                <w:bCs/>
                <w:sz w:val="24"/>
                <w:szCs w:val="24"/>
              </w:rPr>
              <w:t xml:space="preserve">. GODINU       </w:t>
            </w:r>
          </w:p>
        </w:tc>
        <w:tc>
          <w:tcPr>
            <w:tcW w:w="1511" w:type="dxa"/>
            <w:tcBorders>
              <w:top w:val="nil"/>
              <w:left w:val="nil"/>
              <w:bottom w:val="nil"/>
              <w:right w:val="single" w:sz="8" w:space="0" w:color="auto"/>
            </w:tcBorders>
            <w:shd w:val="clear" w:color="000000" w:fill="D9D9D9"/>
            <w:vAlign w:val="center"/>
            <w:hideMark/>
          </w:tcPr>
          <w:p w:rsidR="00C97B20" w:rsidRPr="00314FA4" w:rsidRDefault="00C97B20" w:rsidP="000D7EA7">
            <w:pPr>
              <w:spacing w:after="0" w:line="240" w:lineRule="auto"/>
              <w:rPr>
                <w:rFonts w:ascii="Ebrima" w:eastAsia="Times New Roman" w:hAnsi="Ebrima" w:cs="Times New Roman"/>
                <w:b/>
                <w:bCs/>
                <w:sz w:val="24"/>
                <w:szCs w:val="24"/>
              </w:rPr>
            </w:pPr>
            <w:r w:rsidRPr="00314FA4">
              <w:rPr>
                <w:rFonts w:ascii="Ebrima" w:eastAsia="Times New Roman" w:hAnsi="Ebrima" w:cs="Times New Roman"/>
                <w:b/>
                <w:bCs/>
                <w:sz w:val="24"/>
                <w:szCs w:val="24"/>
              </w:rPr>
              <w:t>ZA  202</w:t>
            </w:r>
            <w:r w:rsidR="00343DAA" w:rsidRPr="00314FA4">
              <w:rPr>
                <w:rFonts w:ascii="Ebrima" w:eastAsia="Times New Roman" w:hAnsi="Ebrima" w:cs="Times New Roman"/>
                <w:b/>
                <w:bCs/>
                <w:sz w:val="24"/>
                <w:szCs w:val="24"/>
              </w:rPr>
              <w:t>5</w:t>
            </w:r>
            <w:r w:rsidRPr="00314FA4">
              <w:rPr>
                <w:rFonts w:ascii="Ebrima" w:eastAsia="Times New Roman" w:hAnsi="Ebrima" w:cs="Times New Roman"/>
                <w:b/>
                <w:bCs/>
                <w:sz w:val="24"/>
                <w:szCs w:val="24"/>
              </w:rPr>
              <w:t xml:space="preserve">. GODINU       </w:t>
            </w:r>
          </w:p>
        </w:tc>
        <w:tc>
          <w:tcPr>
            <w:tcW w:w="1456" w:type="dxa"/>
            <w:tcBorders>
              <w:top w:val="nil"/>
              <w:left w:val="nil"/>
              <w:bottom w:val="nil"/>
              <w:right w:val="single" w:sz="4" w:space="0" w:color="auto"/>
            </w:tcBorders>
            <w:shd w:val="clear" w:color="000000" w:fill="D9D9D9"/>
            <w:vAlign w:val="center"/>
            <w:hideMark/>
          </w:tcPr>
          <w:p w:rsidR="00C97B20" w:rsidRPr="00314FA4" w:rsidRDefault="00343DAA" w:rsidP="000D7EA7">
            <w:pPr>
              <w:spacing w:after="0" w:line="240" w:lineRule="auto"/>
              <w:rPr>
                <w:rFonts w:ascii="Ebrima" w:eastAsia="Times New Roman" w:hAnsi="Ebrima" w:cs="Times New Roman"/>
                <w:b/>
                <w:bCs/>
                <w:sz w:val="24"/>
                <w:szCs w:val="24"/>
              </w:rPr>
            </w:pPr>
            <w:r w:rsidRPr="00314FA4">
              <w:rPr>
                <w:rFonts w:ascii="Ebrima" w:eastAsia="Times New Roman" w:hAnsi="Ebrima" w:cs="Times New Roman"/>
                <w:b/>
                <w:bCs/>
                <w:sz w:val="24"/>
                <w:szCs w:val="24"/>
              </w:rPr>
              <w:t>ZA 2026</w:t>
            </w:r>
            <w:r w:rsidR="00C97B20" w:rsidRPr="00314FA4">
              <w:rPr>
                <w:rFonts w:ascii="Ebrima" w:eastAsia="Times New Roman" w:hAnsi="Ebrima" w:cs="Times New Roman"/>
                <w:b/>
                <w:bCs/>
                <w:sz w:val="24"/>
                <w:szCs w:val="24"/>
              </w:rPr>
              <w:t xml:space="preserve">. GODINU       </w:t>
            </w:r>
          </w:p>
        </w:tc>
      </w:tr>
      <w:tr w:rsidR="00314FA4" w:rsidRPr="00314FA4" w:rsidTr="00835DD7">
        <w:trPr>
          <w:trHeight w:val="270"/>
        </w:trPr>
        <w:tc>
          <w:tcPr>
            <w:tcW w:w="4736" w:type="dxa"/>
            <w:tcBorders>
              <w:top w:val="nil"/>
              <w:left w:val="single" w:sz="4" w:space="0" w:color="auto"/>
              <w:bottom w:val="single" w:sz="8" w:space="0" w:color="auto"/>
              <w:right w:val="single" w:sz="8" w:space="0" w:color="auto"/>
            </w:tcBorders>
            <w:shd w:val="clear" w:color="000000" w:fill="D9D9D9"/>
            <w:noWrap/>
            <w:vAlign w:val="center"/>
            <w:hideMark/>
          </w:tcPr>
          <w:p w:rsidR="00C97B20" w:rsidRPr="00314FA4" w:rsidRDefault="00C97B20" w:rsidP="00525560">
            <w:pPr>
              <w:spacing w:after="0" w:line="240" w:lineRule="auto"/>
              <w:jc w:val="both"/>
              <w:rPr>
                <w:rFonts w:ascii="Ebrima" w:eastAsia="Times New Roman" w:hAnsi="Ebrima" w:cs="Times New Roman"/>
                <w:b/>
                <w:bCs/>
                <w:sz w:val="24"/>
                <w:szCs w:val="24"/>
              </w:rPr>
            </w:pPr>
            <w:r w:rsidRPr="00314FA4">
              <w:rPr>
                <w:rFonts w:ascii="Ebrima" w:eastAsia="Times New Roman" w:hAnsi="Ebrima" w:cs="Times New Roman"/>
                <w:b/>
                <w:bCs/>
                <w:sz w:val="24"/>
                <w:szCs w:val="24"/>
              </w:rPr>
              <w:t> </w:t>
            </w:r>
          </w:p>
        </w:tc>
        <w:tc>
          <w:tcPr>
            <w:tcW w:w="1581" w:type="dxa"/>
            <w:tcBorders>
              <w:top w:val="nil"/>
              <w:left w:val="nil"/>
              <w:bottom w:val="single" w:sz="8" w:space="0" w:color="auto"/>
              <w:right w:val="single" w:sz="8" w:space="0" w:color="auto"/>
            </w:tcBorders>
            <w:shd w:val="clear" w:color="000000" w:fill="D9D9D9"/>
            <w:noWrap/>
            <w:vAlign w:val="center"/>
            <w:hideMark/>
          </w:tcPr>
          <w:p w:rsidR="00C97B20" w:rsidRPr="00314FA4" w:rsidRDefault="00C97B20" w:rsidP="00525560">
            <w:pPr>
              <w:spacing w:after="0" w:line="240" w:lineRule="auto"/>
              <w:jc w:val="both"/>
              <w:rPr>
                <w:rFonts w:ascii="Ebrima" w:eastAsia="Times New Roman" w:hAnsi="Ebrima" w:cs="Times New Roman"/>
                <w:b/>
                <w:bCs/>
                <w:sz w:val="24"/>
                <w:szCs w:val="24"/>
              </w:rPr>
            </w:pPr>
            <w:r w:rsidRPr="00314FA4">
              <w:rPr>
                <w:rFonts w:ascii="Ebrima" w:eastAsia="Times New Roman" w:hAnsi="Ebrima" w:cs="Times New Roman"/>
                <w:b/>
                <w:bCs/>
                <w:sz w:val="24"/>
                <w:szCs w:val="24"/>
              </w:rPr>
              <w:t> </w:t>
            </w:r>
          </w:p>
        </w:tc>
        <w:tc>
          <w:tcPr>
            <w:tcW w:w="1511" w:type="dxa"/>
            <w:tcBorders>
              <w:top w:val="nil"/>
              <w:left w:val="nil"/>
              <w:bottom w:val="single" w:sz="8" w:space="0" w:color="auto"/>
              <w:right w:val="single" w:sz="8" w:space="0" w:color="auto"/>
            </w:tcBorders>
            <w:shd w:val="clear" w:color="000000" w:fill="D9D9D9"/>
            <w:noWrap/>
            <w:vAlign w:val="center"/>
            <w:hideMark/>
          </w:tcPr>
          <w:p w:rsidR="00C97B20" w:rsidRPr="00314FA4" w:rsidRDefault="00C97B20" w:rsidP="00525560">
            <w:pPr>
              <w:spacing w:after="0" w:line="240" w:lineRule="auto"/>
              <w:jc w:val="both"/>
              <w:rPr>
                <w:rFonts w:ascii="Ebrima" w:eastAsia="Times New Roman" w:hAnsi="Ebrima" w:cs="Times New Roman"/>
                <w:b/>
                <w:bCs/>
                <w:sz w:val="24"/>
                <w:szCs w:val="24"/>
              </w:rPr>
            </w:pPr>
            <w:r w:rsidRPr="00314FA4">
              <w:rPr>
                <w:rFonts w:ascii="Ebrima" w:eastAsia="Times New Roman" w:hAnsi="Ebrima" w:cs="Times New Roman"/>
                <w:b/>
                <w:bCs/>
                <w:sz w:val="24"/>
                <w:szCs w:val="24"/>
              </w:rPr>
              <w:t> </w:t>
            </w:r>
          </w:p>
        </w:tc>
        <w:tc>
          <w:tcPr>
            <w:tcW w:w="1456" w:type="dxa"/>
            <w:tcBorders>
              <w:top w:val="nil"/>
              <w:left w:val="nil"/>
              <w:bottom w:val="single" w:sz="8" w:space="0" w:color="auto"/>
              <w:right w:val="single" w:sz="4" w:space="0" w:color="auto"/>
            </w:tcBorders>
            <w:shd w:val="clear" w:color="000000" w:fill="D9D9D9"/>
            <w:noWrap/>
            <w:vAlign w:val="center"/>
            <w:hideMark/>
          </w:tcPr>
          <w:p w:rsidR="00C97B20" w:rsidRPr="00314FA4" w:rsidRDefault="00C97B20" w:rsidP="00525560">
            <w:pPr>
              <w:spacing w:after="0" w:line="240" w:lineRule="auto"/>
              <w:jc w:val="both"/>
              <w:rPr>
                <w:rFonts w:ascii="Ebrima" w:eastAsia="Times New Roman" w:hAnsi="Ebrima" w:cs="Times New Roman"/>
                <w:b/>
                <w:bCs/>
                <w:sz w:val="24"/>
                <w:szCs w:val="24"/>
              </w:rPr>
            </w:pPr>
            <w:r w:rsidRPr="00314FA4">
              <w:rPr>
                <w:rFonts w:ascii="Ebrima" w:eastAsia="Times New Roman" w:hAnsi="Ebrima" w:cs="Times New Roman"/>
                <w:b/>
                <w:bCs/>
                <w:sz w:val="24"/>
                <w:szCs w:val="24"/>
              </w:rPr>
              <w:t> </w:t>
            </w:r>
          </w:p>
        </w:tc>
      </w:tr>
      <w:tr w:rsidR="00314FA4" w:rsidRPr="00314FA4" w:rsidTr="00835DD7">
        <w:trPr>
          <w:trHeight w:val="270"/>
        </w:trPr>
        <w:tc>
          <w:tcPr>
            <w:tcW w:w="4736" w:type="dxa"/>
            <w:tcBorders>
              <w:top w:val="nil"/>
              <w:left w:val="single" w:sz="4" w:space="0" w:color="auto"/>
              <w:bottom w:val="single" w:sz="8" w:space="0" w:color="auto"/>
              <w:right w:val="single" w:sz="8" w:space="0" w:color="auto"/>
            </w:tcBorders>
            <w:shd w:val="clear" w:color="000000" w:fill="FFFFFF"/>
            <w:noWrap/>
            <w:vAlign w:val="center"/>
            <w:hideMark/>
          </w:tcPr>
          <w:p w:rsidR="00C97B20" w:rsidRPr="00314FA4" w:rsidRDefault="00C97B20" w:rsidP="0000260F">
            <w:pPr>
              <w:spacing w:after="0" w:line="240" w:lineRule="auto"/>
              <w:jc w:val="center"/>
              <w:rPr>
                <w:rFonts w:ascii="Ebrima" w:eastAsia="Times New Roman" w:hAnsi="Ebrima" w:cs="Times New Roman"/>
                <w:b/>
                <w:sz w:val="24"/>
                <w:szCs w:val="24"/>
              </w:rPr>
            </w:pPr>
            <w:r w:rsidRPr="00314FA4">
              <w:rPr>
                <w:rFonts w:ascii="Ebrima" w:eastAsia="Times New Roman" w:hAnsi="Ebrima" w:cs="Times New Roman"/>
                <w:b/>
                <w:sz w:val="24"/>
                <w:szCs w:val="24"/>
              </w:rPr>
              <w:t>I</w:t>
            </w:r>
          </w:p>
        </w:tc>
        <w:tc>
          <w:tcPr>
            <w:tcW w:w="1581" w:type="dxa"/>
            <w:tcBorders>
              <w:top w:val="nil"/>
              <w:left w:val="nil"/>
              <w:bottom w:val="single" w:sz="8" w:space="0" w:color="auto"/>
              <w:right w:val="single" w:sz="8" w:space="0" w:color="auto"/>
            </w:tcBorders>
            <w:shd w:val="clear" w:color="000000" w:fill="FFFFFF"/>
            <w:noWrap/>
            <w:vAlign w:val="center"/>
            <w:hideMark/>
          </w:tcPr>
          <w:p w:rsidR="00C97B20" w:rsidRPr="00314FA4" w:rsidRDefault="000D7EA7" w:rsidP="0000260F">
            <w:pPr>
              <w:spacing w:after="0" w:line="240" w:lineRule="auto"/>
              <w:jc w:val="center"/>
              <w:rPr>
                <w:rFonts w:ascii="Ebrima" w:eastAsia="Times New Roman" w:hAnsi="Ebrima" w:cs="Times New Roman"/>
                <w:b/>
                <w:bCs/>
                <w:sz w:val="24"/>
                <w:szCs w:val="24"/>
              </w:rPr>
            </w:pPr>
            <w:r w:rsidRPr="00314FA4">
              <w:rPr>
                <w:rFonts w:ascii="Ebrima" w:eastAsia="Times New Roman" w:hAnsi="Ebrima" w:cs="Times New Roman"/>
                <w:b/>
                <w:bCs/>
                <w:sz w:val="24"/>
                <w:szCs w:val="24"/>
              </w:rPr>
              <w:t>II</w:t>
            </w:r>
          </w:p>
        </w:tc>
        <w:tc>
          <w:tcPr>
            <w:tcW w:w="1511" w:type="dxa"/>
            <w:tcBorders>
              <w:top w:val="nil"/>
              <w:left w:val="nil"/>
              <w:bottom w:val="single" w:sz="8" w:space="0" w:color="auto"/>
              <w:right w:val="single" w:sz="8" w:space="0" w:color="auto"/>
            </w:tcBorders>
            <w:shd w:val="clear" w:color="000000" w:fill="FFFFFF"/>
            <w:noWrap/>
            <w:vAlign w:val="center"/>
            <w:hideMark/>
          </w:tcPr>
          <w:p w:rsidR="00C97B20" w:rsidRPr="00314FA4" w:rsidRDefault="000D7EA7" w:rsidP="0000260F">
            <w:pPr>
              <w:spacing w:after="0" w:line="240" w:lineRule="auto"/>
              <w:jc w:val="center"/>
              <w:rPr>
                <w:rFonts w:ascii="Ebrima" w:eastAsia="Times New Roman" w:hAnsi="Ebrima" w:cs="Times New Roman"/>
                <w:b/>
                <w:bCs/>
                <w:sz w:val="24"/>
                <w:szCs w:val="24"/>
              </w:rPr>
            </w:pPr>
            <w:r w:rsidRPr="00314FA4">
              <w:rPr>
                <w:rFonts w:ascii="Ebrima" w:eastAsia="Times New Roman" w:hAnsi="Ebrima" w:cs="Times New Roman"/>
                <w:b/>
                <w:bCs/>
                <w:sz w:val="24"/>
                <w:szCs w:val="24"/>
              </w:rPr>
              <w:t>III</w:t>
            </w:r>
          </w:p>
        </w:tc>
        <w:tc>
          <w:tcPr>
            <w:tcW w:w="1456" w:type="dxa"/>
            <w:tcBorders>
              <w:top w:val="nil"/>
              <w:left w:val="nil"/>
              <w:bottom w:val="single" w:sz="8" w:space="0" w:color="auto"/>
              <w:right w:val="single" w:sz="4" w:space="0" w:color="auto"/>
            </w:tcBorders>
            <w:shd w:val="clear" w:color="000000" w:fill="FFFFFF"/>
            <w:noWrap/>
            <w:vAlign w:val="center"/>
            <w:hideMark/>
          </w:tcPr>
          <w:p w:rsidR="00C97B20" w:rsidRPr="00314FA4" w:rsidRDefault="000D7EA7" w:rsidP="0000260F">
            <w:pPr>
              <w:spacing w:after="0" w:line="240" w:lineRule="auto"/>
              <w:jc w:val="center"/>
              <w:rPr>
                <w:rFonts w:ascii="Ebrima" w:eastAsia="Times New Roman" w:hAnsi="Ebrima" w:cs="Times New Roman"/>
                <w:b/>
                <w:bCs/>
                <w:sz w:val="24"/>
                <w:szCs w:val="24"/>
              </w:rPr>
            </w:pPr>
            <w:r w:rsidRPr="00314FA4">
              <w:rPr>
                <w:rFonts w:ascii="Ebrima" w:eastAsia="Times New Roman" w:hAnsi="Ebrima" w:cs="Times New Roman"/>
                <w:b/>
                <w:bCs/>
                <w:sz w:val="24"/>
                <w:szCs w:val="24"/>
              </w:rPr>
              <w:t>I</w:t>
            </w:r>
            <w:r w:rsidR="00C97B20" w:rsidRPr="00314FA4">
              <w:rPr>
                <w:rFonts w:ascii="Ebrima" w:eastAsia="Times New Roman" w:hAnsi="Ebrima" w:cs="Times New Roman"/>
                <w:b/>
                <w:bCs/>
                <w:sz w:val="24"/>
                <w:szCs w:val="24"/>
              </w:rPr>
              <w:t>V</w:t>
            </w:r>
          </w:p>
        </w:tc>
      </w:tr>
      <w:tr w:rsidR="00314FA4" w:rsidRPr="00314FA4" w:rsidTr="00835DD7">
        <w:trPr>
          <w:trHeight w:val="270"/>
        </w:trPr>
        <w:tc>
          <w:tcPr>
            <w:tcW w:w="4736" w:type="dxa"/>
            <w:tcBorders>
              <w:top w:val="nil"/>
              <w:left w:val="single" w:sz="4" w:space="0" w:color="auto"/>
              <w:bottom w:val="single" w:sz="8" w:space="0" w:color="auto"/>
              <w:right w:val="single" w:sz="8" w:space="0" w:color="auto"/>
            </w:tcBorders>
            <w:shd w:val="clear" w:color="000000" w:fill="FFFFFF"/>
            <w:noWrap/>
            <w:vAlign w:val="center"/>
            <w:hideMark/>
          </w:tcPr>
          <w:p w:rsidR="00C97B20" w:rsidRPr="00314FA4" w:rsidRDefault="00C97B20" w:rsidP="0040112E">
            <w:pPr>
              <w:spacing w:after="0" w:line="240" w:lineRule="auto"/>
              <w:rPr>
                <w:rFonts w:ascii="Ebrima" w:eastAsia="Times New Roman" w:hAnsi="Ebrima" w:cs="Times New Roman"/>
                <w:b/>
                <w:bCs/>
                <w:sz w:val="24"/>
                <w:szCs w:val="24"/>
              </w:rPr>
            </w:pPr>
            <w:r w:rsidRPr="00314FA4">
              <w:rPr>
                <w:rFonts w:ascii="Ebrima" w:eastAsia="Times New Roman" w:hAnsi="Ebrima" w:cs="Times New Roman"/>
                <w:b/>
                <w:bCs/>
                <w:sz w:val="24"/>
                <w:szCs w:val="24"/>
              </w:rPr>
              <w:t>PRIHODI OD POREZA</w:t>
            </w:r>
          </w:p>
        </w:tc>
        <w:tc>
          <w:tcPr>
            <w:tcW w:w="1581" w:type="dxa"/>
            <w:tcBorders>
              <w:top w:val="nil"/>
              <w:left w:val="nil"/>
              <w:bottom w:val="single" w:sz="8" w:space="0" w:color="auto"/>
              <w:right w:val="single" w:sz="8" w:space="0" w:color="auto"/>
            </w:tcBorders>
            <w:shd w:val="clear" w:color="auto" w:fill="auto"/>
            <w:noWrap/>
            <w:vAlign w:val="center"/>
            <w:hideMark/>
          </w:tcPr>
          <w:p w:rsidR="00C97B20" w:rsidRPr="00314FA4" w:rsidRDefault="00343DAA" w:rsidP="0040112E">
            <w:pPr>
              <w:spacing w:after="0" w:line="240" w:lineRule="auto"/>
              <w:jc w:val="right"/>
              <w:rPr>
                <w:rFonts w:ascii="Ebrima" w:eastAsia="Times New Roman" w:hAnsi="Ebrima" w:cs="Times New Roman"/>
                <w:b/>
                <w:bCs/>
                <w:sz w:val="24"/>
                <w:szCs w:val="24"/>
              </w:rPr>
            </w:pPr>
            <w:r w:rsidRPr="00314FA4">
              <w:rPr>
                <w:rFonts w:ascii="Ebrima" w:eastAsia="Times New Roman" w:hAnsi="Ebrima" w:cs="Times New Roman"/>
                <w:b/>
                <w:bCs/>
                <w:sz w:val="24"/>
                <w:szCs w:val="24"/>
              </w:rPr>
              <w:t>42.042.692</w:t>
            </w:r>
          </w:p>
        </w:tc>
        <w:tc>
          <w:tcPr>
            <w:tcW w:w="1511" w:type="dxa"/>
            <w:tcBorders>
              <w:top w:val="nil"/>
              <w:left w:val="nil"/>
              <w:bottom w:val="single" w:sz="8" w:space="0" w:color="auto"/>
              <w:right w:val="single" w:sz="8" w:space="0" w:color="auto"/>
            </w:tcBorders>
            <w:shd w:val="clear" w:color="auto" w:fill="auto"/>
            <w:noWrap/>
            <w:vAlign w:val="center"/>
            <w:hideMark/>
          </w:tcPr>
          <w:p w:rsidR="00C97B20" w:rsidRPr="00314FA4" w:rsidRDefault="00343DAA" w:rsidP="0040112E">
            <w:pPr>
              <w:spacing w:after="0" w:line="240" w:lineRule="auto"/>
              <w:jc w:val="right"/>
              <w:rPr>
                <w:rFonts w:ascii="Ebrima" w:eastAsia="Times New Roman" w:hAnsi="Ebrima" w:cs="Times New Roman"/>
                <w:b/>
                <w:bCs/>
                <w:sz w:val="24"/>
                <w:szCs w:val="24"/>
              </w:rPr>
            </w:pPr>
            <w:r w:rsidRPr="00314FA4">
              <w:rPr>
                <w:rFonts w:ascii="Ebrima" w:eastAsia="Times New Roman" w:hAnsi="Ebrima" w:cs="Times New Roman"/>
                <w:b/>
                <w:bCs/>
                <w:sz w:val="24"/>
                <w:szCs w:val="24"/>
              </w:rPr>
              <w:t>44.514.268</w:t>
            </w:r>
          </w:p>
        </w:tc>
        <w:tc>
          <w:tcPr>
            <w:tcW w:w="1456" w:type="dxa"/>
            <w:tcBorders>
              <w:top w:val="nil"/>
              <w:left w:val="nil"/>
              <w:bottom w:val="single" w:sz="8" w:space="0" w:color="auto"/>
              <w:right w:val="single" w:sz="4" w:space="0" w:color="auto"/>
            </w:tcBorders>
            <w:shd w:val="clear" w:color="auto" w:fill="auto"/>
            <w:noWrap/>
            <w:vAlign w:val="center"/>
            <w:hideMark/>
          </w:tcPr>
          <w:p w:rsidR="00C97B20" w:rsidRPr="00314FA4" w:rsidRDefault="00343DAA" w:rsidP="007C43F8">
            <w:pPr>
              <w:spacing w:after="0" w:line="240" w:lineRule="auto"/>
              <w:jc w:val="right"/>
              <w:rPr>
                <w:rFonts w:ascii="Ebrima" w:eastAsia="Times New Roman" w:hAnsi="Ebrima" w:cs="Times New Roman"/>
                <w:b/>
                <w:bCs/>
                <w:sz w:val="24"/>
                <w:szCs w:val="24"/>
              </w:rPr>
            </w:pPr>
            <w:r w:rsidRPr="00314FA4">
              <w:rPr>
                <w:rFonts w:ascii="Ebrima" w:eastAsia="Times New Roman" w:hAnsi="Ebrima" w:cs="Times New Roman"/>
                <w:b/>
                <w:bCs/>
                <w:sz w:val="24"/>
                <w:szCs w:val="24"/>
              </w:rPr>
              <w:t>45.491.634</w:t>
            </w:r>
          </w:p>
        </w:tc>
      </w:tr>
      <w:tr w:rsidR="00314FA4" w:rsidRPr="00314FA4" w:rsidTr="00835DD7">
        <w:trPr>
          <w:trHeight w:val="270"/>
        </w:trPr>
        <w:tc>
          <w:tcPr>
            <w:tcW w:w="4736" w:type="dxa"/>
            <w:tcBorders>
              <w:top w:val="nil"/>
              <w:left w:val="single" w:sz="4" w:space="0" w:color="auto"/>
              <w:bottom w:val="single" w:sz="8" w:space="0" w:color="auto"/>
              <w:right w:val="single" w:sz="8" w:space="0" w:color="auto"/>
            </w:tcBorders>
            <w:shd w:val="clear" w:color="auto" w:fill="auto"/>
            <w:noWrap/>
            <w:vAlign w:val="center"/>
            <w:hideMark/>
          </w:tcPr>
          <w:p w:rsidR="00C97B20" w:rsidRPr="00314FA4" w:rsidRDefault="00C97B20" w:rsidP="0040112E">
            <w:pPr>
              <w:spacing w:after="0" w:line="240" w:lineRule="auto"/>
              <w:rPr>
                <w:rFonts w:ascii="Ebrima" w:eastAsia="Times New Roman" w:hAnsi="Ebrima" w:cs="Times New Roman"/>
                <w:b/>
                <w:bCs/>
                <w:sz w:val="24"/>
                <w:szCs w:val="24"/>
              </w:rPr>
            </w:pPr>
            <w:r w:rsidRPr="00314FA4">
              <w:rPr>
                <w:rFonts w:ascii="Ebrima" w:eastAsia="Times New Roman" w:hAnsi="Ebrima" w:cs="Times New Roman"/>
                <w:b/>
                <w:bCs/>
                <w:sz w:val="24"/>
                <w:szCs w:val="24"/>
              </w:rPr>
              <w:t>NEPOREZNI PRIHODI</w:t>
            </w:r>
          </w:p>
        </w:tc>
        <w:tc>
          <w:tcPr>
            <w:tcW w:w="1581" w:type="dxa"/>
            <w:tcBorders>
              <w:top w:val="nil"/>
              <w:left w:val="nil"/>
              <w:bottom w:val="single" w:sz="8" w:space="0" w:color="auto"/>
              <w:right w:val="single" w:sz="8" w:space="0" w:color="auto"/>
            </w:tcBorders>
            <w:shd w:val="clear" w:color="auto" w:fill="auto"/>
            <w:noWrap/>
            <w:vAlign w:val="center"/>
            <w:hideMark/>
          </w:tcPr>
          <w:p w:rsidR="00C97B20" w:rsidRPr="00314FA4" w:rsidRDefault="00343DAA" w:rsidP="0040112E">
            <w:pPr>
              <w:spacing w:after="0" w:line="240" w:lineRule="auto"/>
              <w:jc w:val="right"/>
              <w:rPr>
                <w:rFonts w:ascii="Ebrima" w:eastAsia="Times New Roman" w:hAnsi="Ebrima" w:cs="Times New Roman"/>
                <w:b/>
                <w:bCs/>
                <w:sz w:val="24"/>
                <w:szCs w:val="24"/>
              </w:rPr>
            </w:pPr>
            <w:r w:rsidRPr="00314FA4">
              <w:rPr>
                <w:rFonts w:ascii="Ebrima" w:eastAsia="Times New Roman" w:hAnsi="Ebrima" w:cs="Times New Roman"/>
                <w:b/>
                <w:bCs/>
                <w:sz w:val="24"/>
                <w:szCs w:val="24"/>
              </w:rPr>
              <w:t>3.448.585</w:t>
            </w:r>
          </w:p>
        </w:tc>
        <w:tc>
          <w:tcPr>
            <w:tcW w:w="1511" w:type="dxa"/>
            <w:tcBorders>
              <w:top w:val="nil"/>
              <w:left w:val="nil"/>
              <w:bottom w:val="single" w:sz="8" w:space="0" w:color="auto"/>
              <w:right w:val="single" w:sz="8" w:space="0" w:color="auto"/>
            </w:tcBorders>
            <w:shd w:val="clear" w:color="auto" w:fill="auto"/>
            <w:noWrap/>
            <w:vAlign w:val="center"/>
            <w:hideMark/>
          </w:tcPr>
          <w:p w:rsidR="00C97B20" w:rsidRPr="00314FA4" w:rsidRDefault="00343DAA" w:rsidP="00C422AF">
            <w:pPr>
              <w:spacing w:after="0" w:line="240" w:lineRule="auto"/>
              <w:jc w:val="right"/>
              <w:rPr>
                <w:rFonts w:ascii="Ebrima" w:eastAsia="Times New Roman" w:hAnsi="Ebrima" w:cs="Times New Roman"/>
                <w:b/>
                <w:bCs/>
                <w:sz w:val="24"/>
                <w:szCs w:val="24"/>
              </w:rPr>
            </w:pPr>
            <w:r w:rsidRPr="00314FA4">
              <w:rPr>
                <w:rFonts w:ascii="Ebrima" w:eastAsia="Times New Roman" w:hAnsi="Ebrima" w:cs="Times New Roman"/>
                <w:b/>
                <w:bCs/>
                <w:sz w:val="24"/>
                <w:szCs w:val="24"/>
              </w:rPr>
              <w:t>3.551.885</w:t>
            </w:r>
          </w:p>
        </w:tc>
        <w:tc>
          <w:tcPr>
            <w:tcW w:w="1456" w:type="dxa"/>
            <w:tcBorders>
              <w:top w:val="nil"/>
              <w:left w:val="nil"/>
              <w:bottom w:val="single" w:sz="8" w:space="0" w:color="auto"/>
              <w:right w:val="single" w:sz="4" w:space="0" w:color="auto"/>
            </w:tcBorders>
            <w:shd w:val="clear" w:color="auto" w:fill="auto"/>
            <w:noWrap/>
            <w:vAlign w:val="center"/>
            <w:hideMark/>
          </w:tcPr>
          <w:p w:rsidR="00C97B20" w:rsidRPr="00314FA4" w:rsidRDefault="00343DAA" w:rsidP="00C422AF">
            <w:pPr>
              <w:spacing w:after="0" w:line="240" w:lineRule="auto"/>
              <w:jc w:val="right"/>
              <w:rPr>
                <w:rFonts w:ascii="Ebrima" w:eastAsia="Times New Roman" w:hAnsi="Ebrima" w:cs="Times New Roman"/>
                <w:b/>
                <w:bCs/>
                <w:sz w:val="24"/>
                <w:szCs w:val="24"/>
              </w:rPr>
            </w:pPr>
            <w:r w:rsidRPr="00314FA4">
              <w:rPr>
                <w:rFonts w:ascii="Ebrima" w:eastAsia="Times New Roman" w:hAnsi="Ebrima" w:cs="Times New Roman"/>
                <w:b/>
                <w:bCs/>
                <w:sz w:val="24"/>
                <w:szCs w:val="24"/>
              </w:rPr>
              <w:t>3.614.885</w:t>
            </w:r>
          </w:p>
        </w:tc>
      </w:tr>
      <w:tr w:rsidR="00314FA4" w:rsidRPr="00314FA4" w:rsidTr="00835DD7">
        <w:trPr>
          <w:trHeight w:val="270"/>
        </w:trPr>
        <w:tc>
          <w:tcPr>
            <w:tcW w:w="4736" w:type="dxa"/>
            <w:tcBorders>
              <w:top w:val="nil"/>
              <w:left w:val="single" w:sz="4" w:space="0" w:color="auto"/>
              <w:bottom w:val="single" w:sz="8" w:space="0" w:color="auto"/>
              <w:right w:val="single" w:sz="8" w:space="0" w:color="auto"/>
            </w:tcBorders>
            <w:shd w:val="clear" w:color="auto" w:fill="auto"/>
            <w:noWrap/>
            <w:vAlign w:val="center"/>
            <w:hideMark/>
          </w:tcPr>
          <w:p w:rsidR="00C97B20" w:rsidRPr="00314FA4" w:rsidRDefault="00C97B20" w:rsidP="0040112E">
            <w:pPr>
              <w:spacing w:after="0" w:line="240" w:lineRule="auto"/>
              <w:rPr>
                <w:rFonts w:ascii="Ebrima" w:eastAsia="Times New Roman" w:hAnsi="Ebrima" w:cs="Times New Roman"/>
                <w:b/>
                <w:bCs/>
                <w:sz w:val="24"/>
                <w:szCs w:val="24"/>
              </w:rPr>
            </w:pPr>
            <w:r w:rsidRPr="00314FA4">
              <w:rPr>
                <w:rFonts w:ascii="Ebrima" w:eastAsia="Times New Roman" w:hAnsi="Ebrima" w:cs="Times New Roman"/>
                <w:b/>
                <w:bCs/>
                <w:sz w:val="24"/>
                <w:szCs w:val="24"/>
              </w:rPr>
              <w:t xml:space="preserve">TEKUĆI TRANSFERI </w:t>
            </w:r>
            <w:r w:rsidR="002130E0" w:rsidRPr="00314FA4">
              <w:rPr>
                <w:rFonts w:ascii="Ebrima" w:eastAsia="Times New Roman" w:hAnsi="Ebrima" w:cs="Times New Roman"/>
                <w:b/>
                <w:bCs/>
                <w:sz w:val="24"/>
                <w:szCs w:val="24"/>
              </w:rPr>
              <w:t>–</w:t>
            </w:r>
            <w:r w:rsidRPr="00314FA4">
              <w:rPr>
                <w:rFonts w:ascii="Ebrima" w:eastAsia="Times New Roman" w:hAnsi="Ebrima" w:cs="Times New Roman"/>
                <w:b/>
                <w:bCs/>
                <w:sz w:val="24"/>
                <w:szCs w:val="24"/>
              </w:rPr>
              <w:t xml:space="preserve"> CŽR</w:t>
            </w:r>
            <w:r w:rsidR="002130E0" w:rsidRPr="00314FA4">
              <w:rPr>
                <w:rFonts w:ascii="Ebrima" w:eastAsia="Times New Roman" w:hAnsi="Ebrima" w:cs="Times New Roman"/>
                <w:b/>
                <w:bCs/>
                <w:sz w:val="24"/>
                <w:szCs w:val="24"/>
              </w:rPr>
              <w:t>, dd, roditelj - njegovatelj</w:t>
            </w:r>
          </w:p>
        </w:tc>
        <w:tc>
          <w:tcPr>
            <w:tcW w:w="1581" w:type="dxa"/>
            <w:tcBorders>
              <w:top w:val="nil"/>
              <w:left w:val="nil"/>
              <w:bottom w:val="single" w:sz="8" w:space="0" w:color="auto"/>
              <w:right w:val="single" w:sz="8" w:space="0" w:color="auto"/>
            </w:tcBorders>
            <w:shd w:val="clear" w:color="auto" w:fill="auto"/>
            <w:noWrap/>
            <w:vAlign w:val="center"/>
            <w:hideMark/>
          </w:tcPr>
          <w:p w:rsidR="00C97B20" w:rsidRPr="00314FA4" w:rsidRDefault="002130E0" w:rsidP="0040112E">
            <w:pPr>
              <w:spacing w:after="0" w:line="240" w:lineRule="auto"/>
              <w:jc w:val="right"/>
              <w:rPr>
                <w:rFonts w:ascii="Ebrima" w:eastAsia="Times New Roman" w:hAnsi="Ebrima" w:cs="Times New Roman"/>
                <w:b/>
                <w:bCs/>
                <w:sz w:val="24"/>
                <w:szCs w:val="24"/>
              </w:rPr>
            </w:pPr>
            <w:r w:rsidRPr="00314FA4">
              <w:rPr>
                <w:rFonts w:ascii="Ebrima" w:eastAsia="Times New Roman" w:hAnsi="Ebrima" w:cs="Times New Roman"/>
                <w:b/>
                <w:bCs/>
                <w:sz w:val="24"/>
                <w:szCs w:val="24"/>
              </w:rPr>
              <w:t>1.585.000</w:t>
            </w:r>
          </w:p>
        </w:tc>
        <w:tc>
          <w:tcPr>
            <w:tcW w:w="1511" w:type="dxa"/>
            <w:tcBorders>
              <w:top w:val="nil"/>
              <w:left w:val="nil"/>
              <w:bottom w:val="single" w:sz="8" w:space="0" w:color="auto"/>
              <w:right w:val="single" w:sz="8" w:space="0" w:color="auto"/>
            </w:tcBorders>
            <w:shd w:val="clear" w:color="auto" w:fill="auto"/>
            <w:noWrap/>
            <w:vAlign w:val="center"/>
            <w:hideMark/>
          </w:tcPr>
          <w:p w:rsidR="00C97B20" w:rsidRPr="00314FA4" w:rsidRDefault="002130E0" w:rsidP="0040112E">
            <w:pPr>
              <w:spacing w:after="0" w:line="240" w:lineRule="auto"/>
              <w:jc w:val="right"/>
              <w:rPr>
                <w:rFonts w:ascii="Ebrima" w:eastAsia="Times New Roman" w:hAnsi="Ebrima" w:cs="Times New Roman"/>
                <w:b/>
                <w:bCs/>
                <w:sz w:val="24"/>
                <w:szCs w:val="24"/>
              </w:rPr>
            </w:pPr>
            <w:r w:rsidRPr="00314FA4">
              <w:rPr>
                <w:rFonts w:ascii="Ebrima" w:eastAsia="Times New Roman" w:hAnsi="Ebrima" w:cs="Times New Roman"/>
                <w:b/>
                <w:bCs/>
                <w:sz w:val="24"/>
                <w:szCs w:val="24"/>
              </w:rPr>
              <w:t>1.585.000</w:t>
            </w:r>
          </w:p>
        </w:tc>
        <w:tc>
          <w:tcPr>
            <w:tcW w:w="1456" w:type="dxa"/>
            <w:tcBorders>
              <w:top w:val="nil"/>
              <w:left w:val="nil"/>
              <w:bottom w:val="single" w:sz="8" w:space="0" w:color="auto"/>
              <w:right w:val="single" w:sz="4" w:space="0" w:color="auto"/>
            </w:tcBorders>
            <w:shd w:val="clear" w:color="auto" w:fill="auto"/>
            <w:noWrap/>
            <w:vAlign w:val="center"/>
            <w:hideMark/>
          </w:tcPr>
          <w:p w:rsidR="00C97B20" w:rsidRPr="00314FA4" w:rsidRDefault="002130E0" w:rsidP="0040112E">
            <w:pPr>
              <w:spacing w:after="0" w:line="240" w:lineRule="auto"/>
              <w:jc w:val="right"/>
              <w:rPr>
                <w:rFonts w:ascii="Ebrima" w:eastAsia="Times New Roman" w:hAnsi="Ebrima" w:cs="Times New Roman"/>
                <w:b/>
                <w:bCs/>
                <w:sz w:val="24"/>
                <w:szCs w:val="24"/>
              </w:rPr>
            </w:pPr>
            <w:r w:rsidRPr="00314FA4">
              <w:rPr>
                <w:rFonts w:ascii="Ebrima" w:eastAsia="Times New Roman" w:hAnsi="Ebrima" w:cs="Times New Roman"/>
                <w:b/>
                <w:bCs/>
                <w:sz w:val="24"/>
                <w:szCs w:val="24"/>
              </w:rPr>
              <w:t>1.585.000</w:t>
            </w:r>
          </w:p>
        </w:tc>
      </w:tr>
      <w:tr w:rsidR="00314FA4" w:rsidRPr="00314FA4" w:rsidTr="00835DD7">
        <w:trPr>
          <w:trHeight w:val="270"/>
        </w:trPr>
        <w:tc>
          <w:tcPr>
            <w:tcW w:w="4736" w:type="dxa"/>
            <w:tcBorders>
              <w:top w:val="nil"/>
              <w:left w:val="single" w:sz="4" w:space="0" w:color="auto"/>
              <w:bottom w:val="single" w:sz="8" w:space="0" w:color="auto"/>
              <w:right w:val="single" w:sz="8" w:space="0" w:color="auto"/>
            </w:tcBorders>
            <w:shd w:val="clear" w:color="auto" w:fill="auto"/>
            <w:noWrap/>
            <w:vAlign w:val="center"/>
            <w:hideMark/>
          </w:tcPr>
          <w:p w:rsidR="00C97B20" w:rsidRPr="00314FA4" w:rsidRDefault="00C97B20" w:rsidP="0040112E">
            <w:pPr>
              <w:spacing w:after="0" w:line="240" w:lineRule="auto"/>
              <w:rPr>
                <w:rFonts w:ascii="Ebrima" w:eastAsia="Times New Roman" w:hAnsi="Ebrima" w:cs="Times New Roman"/>
                <w:b/>
                <w:bCs/>
                <w:sz w:val="24"/>
                <w:szCs w:val="24"/>
              </w:rPr>
            </w:pPr>
            <w:r w:rsidRPr="00314FA4">
              <w:rPr>
                <w:rFonts w:ascii="Ebrima" w:eastAsia="Times New Roman" w:hAnsi="Ebrima" w:cs="Times New Roman"/>
                <w:b/>
                <w:bCs/>
                <w:sz w:val="24"/>
                <w:szCs w:val="24"/>
              </w:rPr>
              <w:t>PRIHODI PO OSNOVU ZAOSTALIH OBAVEZA</w:t>
            </w:r>
          </w:p>
        </w:tc>
        <w:tc>
          <w:tcPr>
            <w:tcW w:w="1581" w:type="dxa"/>
            <w:tcBorders>
              <w:top w:val="nil"/>
              <w:left w:val="nil"/>
              <w:bottom w:val="single" w:sz="4" w:space="0" w:color="auto"/>
              <w:right w:val="single" w:sz="8" w:space="0" w:color="auto"/>
            </w:tcBorders>
            <w:shd w:val="clear" w:color="auto" w:fill="auto"/>
            <w:noWrap/>
            <w:vAlign w:val="center"/>
            <w:hideMark/>
          </w:tcPr>
          <w:p w:rsidR="00C97B20" w:rsidRPr="00314FA4" w:rsidRDefault="002130E0" w:rsidP="0040112E">
            <w:pPr>
              <w:spacing w:after="0" w:line="240" w:lineRule="auto"/>
              <w:jc w:val="right"/>
              <w:rPr>
                <w:rFonts w:ascii="Ebrima" w:eastAsia="Times New Roman" w:hAnsi="Ebrima" w:cs="Times New Roman"/>
                <w:b/>
                <w:bCs/>
                <w:sz w:val="24"/>
                <w:szCs w:val="24"/>
              </w:rPr>
            </w:pPr>
            <w:r w:rsidRPr="00314FA4">
              <w:rPr>
                <w:rFonts w:ascii="Ebrima" w:eastAsia="Times New Roman" w:hAnsi="Ebrima" w:cs="Times New Roman"/>
                <w:b/>
                <w:bCs/>
                <w:sz w:val="24"/>
                <w:szCs w:val="24"/>
              </w:rPr>
              <w:t>1.108</w:t>
            </w:r>
          </w:p>
        </w:tc>
        <w:tc>
          <w:tcPr>
            <w:tcW w:w="1511" w:type="dxa"/>
            <w:tcBorders>
              <w:top w:val="nil"/>
              <w:left w:val="nil"/>
              <w:bottom w:val="single" w:sz="8" w:space="0" w:color="auto"/>
              <w:right w:val="single" w:sz="8" w:space="0" w:color="auto"/>
            </w:tcBorders>
            <w:shd w:val="clear" w:color="auto" w:fill="auto"/>
            <w:noWrap/>
            <w:vAlign w:val="center"/>
            <w:hideMark/>
          </w:tcPr>
          <w:p w:rsidR="00C97B20" w:rsidRPr="00314FA4" w:rsidRDefault="002130E0" w:rsidP="007520D0">
            <w:pPr>
              <w:spacing w:after="0" w:line="240" w:lineRule="auto"/>
              <w:jc w:val="right"/>
              <w:rPr>
                <w:rFonts w:ascii="Ebrima" w:eastAsia="Times New Roman" w:hAnsi="Ebrima" w:cs="Times New Roman"/>
                <w:b/>
                <w:bCs/>
                <w:sz w:val="24"/>
                <w:szCs w:val="24"/>
              </w:rPr>
            </w:pPr>
            <w:r w:rsidRPr="00314FA4">
              <w:rPr>
                <w:rFonts w:ascii="Ebrima" w:eastAsia="Times New Roman" w:hAnsi="Ebrima" w:cs="Times New Roman"/>
                <w:b/>
                <w:bCs/>
                <w:sz w:val="24"/>
                <w:szCs w:val="24"/>
              </w:rPr>
              <w:t>1.108</w:t>
            </w:r>
          </w:p>
        </w:tc>
        <w:tc>
          <w:tcPr>
            <w:tcW w:w="1456" w:type="dxa"/>
            <w:tcBorders>
              <w:top w:val="nil"/>
              <w:left w:val="nil"/>
              <w:bottom w:val="single" w:sz="8" w:space="0" w:color="auto"/>
              <w:right w:val="single" w:sz="4" w:space="0" w:color="auto"/>
            </w:tcBorders>
            <w:shd w:val="clear" w:color="auto" w:fill="auto"/>
            <w:noWrap/>
            <w:vAlign w:val="center"/>
            <w:hideMark/>
          </w:tcPr>
          <w:p w:rsidR="00C97B20" w:rsidRPr="00314FA4" w:rsidRDefault="002130E0" w:rsidP="007520D0">
            <w:pPr>
              <w:spacing w:after="0" w:line="240" w:lineRule="auto"/>
              <w:jc w:val="right"/>
              <w:rPr>
                <w:rFonts w:ascii="Ebrima" w:eastAsia="Times New Roman" w:hAnsi="Ebrima" w:cs="Times New Roman"/>
                <w:b/>
                <w:bCs/>
                <w:sz w:val="24"/>
                <w:szCs w:val="24"/>
              </w:rPr>
            </w:pPr>
            <w:r w:rsidRPr="00314FA4">
              <w:rPr>
                <w:rFonts w:ascii="Ebrima" w:eastAsia="Times New Roman" w:hAnsi="Ebrima" w:cs="Times New Roman"/>
                <w:b/>
                <w:bCs/>
                <w:sz w:val="24"/>
                <w:szCs w:val="24"/>
              </w:rPr>
              <w:t>1.108</w:t>
            </w:r>
          </w:p>
        </w:tc>
      </w:tr>
      <w:tr w:rsidR="00314FA4" w:rsidRPr="00314FA4" w:rsidTr="00835DD7">
        <w:trPr>
          <w:trHeight w:val="270"/>
        </w:trPr>
        <w:tc>
          <w:tcPr>
            <w:tcW w:w="4736" w:type="dxa"/>
            <w:tcBorders>
              <w:top w:val="nil"/>
              <w:left w:val="single" w:sz="4" w:space="0" w:color="auto"/>
              <w:bottom w:val="single" w:sz="4" w:space="0" w:color="auto"/>
              <w:right w:val="single" w:sz="4" w:space="0" w:color="auto"/>
            </w:tcBorders>
            <w:shd w:val="clear" w:color="000000" w:fill="D9D9D9"/>
            <w:noWrap/>
            <w:vAlign w:val="bottom"/>
            <w:hideMark/>
          </w:tcPr>
          <w:p w:rsidR="00C97B20" w:rsidRPr="00314FA4" w:rsidRDefault="00C97B20" w:rsidP="0040112E">
            <w:pPr>
              <w:spacing w:after="0" w:line="240" w:lineRule="auto"/>
              <w:rPr>
                <w:rFonts w:ascii="Ebrima" w:eastAsia="Times New Roman" w:hAnsi="Ebrima" w:cs="Times New Roman"/>
                <w:b/>
                <w:sz w:val="24"/>
                <w:szCs w:val="24"/>
              </w:rPr>
            </w:pPr>
            <w:r w:rsidRPr="00314FA4">
              <w:rPr>
                <w:rFonts w:ascii="Ebrima" w:eastAsia="Times New Roman" w:hAnsi="Ebrima" w:cs="Times New Roman"/>
                <w:b/>
                <w:sz w:val="24"/>
                <w:szCs w:val="24"/>
              </w:rPr>
              <w:t>UKUPNO</w:t>
            </w:r>
          </w:p>
        </w:tc>
        <w:tc>
          <w:tcPr>
            <w:tcW w:w="158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7B20" w:rsidRPr="00314FA4" w:rsidRDefault="00343DAA" w:rsidP="0040112E">
            <w:pPr>
              <w:spacing w:after="0" w:line="240" w:lineRule="auto"/>
              <w:jc w:val="right"/>
              <w:rPr>
                <w:rFonts w:ascii="Ebrima" w:eastAsia="Times New Roman" w:hAnsi="Ebrima" w:cs="Times New Roman"/>
                <w:b/>
                <w:bCs/>
                <w:sz w:val="24"/>
                <w:szCs w:val="24"/>
              </w:rPr>
            </w:pPr>
            <w:r w:rsidRPr="00314FA4">
              <w:rPr>
                <w:rFonts w:ascii="Ebrima" w:eastAsia="Times New Roman" w:hAnsi="Ebrima" w:cs="Times New Roman"/>
                <w:b/>
                <w:bCs/>
                <w:sz w:val="24"/>
                <w:szCs w:val="24"/>
              </w:rPr>
              <w:t>47.077.386</w:t>
            </w:r>
          </w:p>
        </w:tc>
        <w:tc>
          <w:tcPr>
            <w:tcW w:w="1511" w:type="dxa"/>
            <w:tcBorders>
              <w:top w:val="nil"/>
              <w:left w:val="single" w:sz="4" w:space="0" w:color="auto"/>
              <w:bottom w:val="single" w:sz="4" w:space="0" w:color="auto"/>
              <w:right w:val="single" w:sz="8" w:space="0" w:color="auto"/>
            </w:tcBorders>
            <w:shd w:val="clear" w:color="000000" w:fill="D9D9D9"/>
            <w:noWrap/>
            <w:vAlign w:val="bottom"/>
            <w:hideMark/>
          </w:tcPr>
          <w:p w:rsidR="00C97B20" w:rsidRPr="00314FA4" w:rsidRDefault="00343DAA" w:rsidP="0040112E">
            <w:pPr>
              <w:spacing w:after="0" w:line="240" w:lineRule="auto"/>
              <w:jc w:val="right"/>
              <w:rPr>
                <w:rFonts w:ascii="Ebrima" w:eastAsia="Times New Roman" w:hAnsi="Ebrima" w:cs="Times New Roman"/>
                <w:b/>
                <w:bCs/>
                <w:sz w:val="24"/>
                <w:szCs w:val="24"/>
              </w:rPr>
            </w:pPr>
            <w:r w:rsidRPr="00314FA4">
              <w:rPr>
                <w:rFonts w:ascii="Ebrima" w:eastAsia="Times New Roman" w:hAnsi="Ebrima" w:cs="Times New Roman"/>
                <w:b/>
                <w:bCs/>
                <w:sz w:val="24"/>
                <w:szCs w:val="24"/>
              </w:rPr>
              <w:t>49.652.262</w:t>
            </w:r>
          </w:p>
        </w:tc>
        <w:tc>
          <w:tcPr>
            <w:tcW w:w="1456" w:type="dxa"/>
            <w:tcBorders>
              <w:top w:val="nil"/>
              <w:left w:val="nil"/>
              <w:bottom w:val="single" w:sz="4" w:space="0" w:color="auto"/>
              <w:right w:val="single" w:sz="4" w:space="0" w:color="auto"/>
            </w:tcBorders>
            <w:shd w:val="clear" w:color="000000" w:fill="D9D9D9"/>
            <w:noWrap/>
            <w:vAlign w:val="bottom"/>
            <w:hideMark/>
          </w:tcPr>
          <w:p w:rsidR="00C97B20" w:rsidRPr="00314FA4" w:rsidRDefault="00343DAA" w:rsidP="0040112E">
            <w:pPr>
              <w:spacing w:after="0" w:line="240" w:lineRule="auto"/>
              <w:jc w:val="right"/>
              <w:rPr>
                <w:rFonts w:ascii="Ebrima" w:eastAsia="Times New Roman" w:hAnsi="Ebrima" w:cs="Times New Roman"/>
                <w:b/>
                <w:bCs/>
                <w:sz w:val="24"/>
                <w:szCs w:val="24"/>
              </w:rPr>
            </w:pPr>
            <w:r w:rsidRPr="00314FA4">
              <w:rPr>
                <w:rFonts w:ascii="Ebrima" w:eastAsia="Times New Roman" w:hAnsi="Ebrima" w:cs="Times New Roman"/>
                <w:b/>
                <w:bCs/>
                <w:sz w:val="24"/>
                <w:szCs w:val="24"/>
              </w:rPr>
              <w:t>50.692.628</w:t>
            </w:r>
          </w:p>
        </w:tc>
      </w:tr>
    </w:tbl>
    <w:p w:rsidR="0040112E" w:rsidRPr="00314FA4" w:rsidRDefault="0040112E" w:rsidP="0040112E">
      <w:pPr>
        <w:spacing w:after="0" w:line="240" w:lineRule="auto"/>
        <w:ind w:firstLine="708"/>
        <w:jc w:val="both"/>
        <w:rPr>
          <w:rFonts w:ascii="Ebrima" w:eastAsia="Times New Roman" w:hAnsi="Ebrima" w:cs="Times New Roman"/>
          <w:sz w:val="24"/>
          <w:szCs w:val="24"/>
          <w:lang w:val="bs-Latn-BA"/>
        </w:rPr>
      </w:pPr>
    </w:p>
    <w:p w:rsidR="0040112E" w:rsidRPr="00314FA4" w:rsidRDefault="0040112E" w:rsidP="0040112E">
      <w:pPr>
        <w:spacing w:after="0" w:line="240" w:lineRule="auto"/>
        <w:jc w:val="both"/>
        <w:rPr>
          <w:rFonts w:ascii="Ebrima" w:eastAsia="Times New Roman" w:hAnsi="Ebrima" w:cs="Times New Roman"/>
          <w:sz w:val="24"/>
          <w:szCs w:val="24"/>
          <w:lang w:val="bs-Latn-BA"/>
        </w:rPr>
      </w:pPr>
      <w:r w:rsidRPr="00314FA4">
        <w:rPr>
          <w:rFonts w:ascii="Ebrima" w:eastAsia="Times New Roman" w:hAnsi="Ebrima" w:cs="Times New Roman"/>
          <w:sz w:val="24"/>
          <w:szCs w:val="24"/>
          <w:lang w:val="bs-Latn-BA"/>
        </w:rPr>
        <w:t>Ukupno planirani prihodi za pe</w:t>
      </w:r>
      <w:r w:rsidR="00655E04" w:rsidRPr="00314FA4">
        <w:rPr>
          <w:rFonts w:ascii="Ebrima" w:eastAsia="Times New Roman" w:hAnsi="Ebrima" w:cs="Times New Roman"/>
          <w:sz w:val="24"/>
          <w:szCs w:val="24"/>
          <w:lang w:val="bs-Latn-BA"/>
        </w:rPr>
        <w:t>riod 2024-2026</w:t>
      </w:r>
      <w:r w:rsidRPr="00314FA4">
        <w:rPr>
          <w:rFonts w:ascii="Ebrima" w:eastAsia="Times New Roman" w:hAnsi="Ebrima" w:cs="Times New Roman"/>
          <w:sz w:val="24"/>
          <w:szCs w:val="24"/>
          <w:lang w:val="bs-Latn-BA"/>
        </w:rPr>
        <w:t>. godina u prethodnoj tabeli ne obuhvataju transfer iz budžeta Fede</w:t>
      </w:r>
      <w:r w:rsidR="00A13D29" w:rsidRPr="00314FA4">
        <w:rPr>
          <w:rFonts w:ascii="Ebrima" w:eastAsia="Times New Roman" w:hAnsi="Ebrima" w:cs="Times New Roman"/>
          <w:sz w:val="24"/>
          <w:szCs w:val="24"/>
          <w:lang w:val="bs-Latn-BA"/>
        </w:rPr>
        <w:t>racije BiH čiji iznos definiše F</w:t>
      </w:r>
      <w:r w:rsidRPr="00314FA4">
        <w:rPr>
          <w:rFonts w:ascii="Ebrima" w:eastAsia="Times New Roman" w:hAnsi="Ebrima" w:cs="Times New Roman"/>
          <w:sz w:val="24"/>
          <w:szCs w:val="24"/>
          <w:lang w:val="bs-Latn-BA"/>
        </w:rPr>
        <w:t xml:space="preserve">ederalna Vlada svojom odlukom, kao niti sredstva </w:t>
      </w:r>
      <w:r w:rsidR="000D7EA7" w:rsidRPr="00314FA4">
        <w:rPr>
          <w:rFonts w:ascii="Ebrima" w:eastAsia="Times New Roman" w:hAnsi="Ebrima" w:cs="Times New Roman"/>
          <w:sz w:val="24"/>
          <w:szCs w:val="24"/>
          <w:lang w:val="bs-Latn-BA"/>
        </w:rPr>
        <w:t xml:space="preserve">sa </w:t>
      </w:r>
      <w:r w:rsidRPr="00314FA4">
        <w:rPr>
          <w:rFonts w:ascii="Ebrima" w:eastAsia="Times New Roman" w:hAnsi="Ebrima" w:cs="Times New Roman"/>
          <w:sz w:val="24"/>
          <w:szCs w:val="24"/>
          <w:lang w:val="bs-Latn-BA"/>
        </w:rPr>
        <w:t xml:space="preserve">podračuna </w:t>
      </w:r>
      <w:r w:rsidR="000D7EA7" w:rsidRPr="00314FA4">
        <w:rPr>
          <w:rFonts w:ascii="Ebrima" w:eastAsia="Times New Roman" w:hAnsi="Ebrima" w:cs="Times New Roman"/>
          <w:sz w:val="24"/>
          <w:szCs w:val="24"/>
          <w:lang w:val="bs-Latn-BA"/>
        </w:rPr>
        <w:t>čija je namjena</w:t>
      </w:r>
      <w:r w:rsidR="00A33983" w:rsidRPr="00314FA4">
        <w:rPr>
          <w:rFonts w:ascii="Ebrima" w:eastAsia="Times New Roman" w:hAnsi="Ebrima" w:cs="Times New Roman"/>
          <w:sz w:val="24"/>
          <w:szCs w:val="24"/>
          <w:lang w:val="bs-Latn-BA"/>
        </w:rPr>
        <w:t xml:space="preserve"> definisana</w:t>
      </w:r>
      <w:r w:rsidRPr="00314FA4">
        <w:rPr>
          <w:rFonts w:ascii="Ebrima" w:eastAsia="Times New Roman" w:hAnsi="Ebrima" w:cs="Times New Roman"/>
          <w:sz w:val="24"/>
          <w:szCs w:val="24"/>
          <w:lang w:val="bs-Latn-BA"/>
        </w:rPr>
        <w:t xml:space="preserve"> posebnim zakonskim propisima</w:t>
      </w:r>
      <w:r w:rsidR="000D7EA7" w:rsidRPr="00314FA4">
        <w:rPr>
          <w:rFonts w:ascii="Ebrima" w:eastAsia="Times New Roman" w:hAnsi="Ebrima" w:cs="Times New Roman"/>
          <w:sz w:val="24"/>
          <w:szCs w:val="24"/>
          <w:lang w:val="bs-Latn-BA"/>
        </w:rPr>
        <w:t>, a koje će se uključiti u Budžete nakon utvrđivanja iznosa os</w:t>
      </w:r>
      <w:r w:rsidR="00A33983" w:rsidRPr="00314FA4">
        <w:rPr>
          <w:rFonts w:ascii="Ebrima" w:eastAsia="Times New Roman" w:hAnsi="Ebrima" w:cs="Times New Roman"/>
          <w:sz w:val="24"/>
          <w:szCs w:val="24"/>
          <w:lang w:val="bs-Latn-BA"/>
        </w:rPr>
        <w:t>t</w:t>
      </w:r>
      <w:r w:rsidR="000D7EA7" w:rsidRPr="00314FA4">
        <w:rPr>
          <w:rFonts w:ascii="Ebrima" w:eastAsia="Times New Roman" w:hAnsi="Ebrima" w:cs="Times New Roman"/>
          <w:sz w:val="24"/>
          <w:szCs w:val="24"/>
          <w:lang w:val="bs-Latn-BA"/>
        </w:rPr>
        <w:t>v</w:t>
      </w:r>
      <w:r w:rsidR="00A33983" w:rsidRPr="00314FA4">
        <w:rPr>
          <w:rFonts w:ascii="Ebrima" w:eastAsia="Times New Roman" w:hAnsi="Ebrima" w:cs="Times New Roman"/>
          <w:sz w:val="24"/>
          <w:szCs w:val="24"/>
          <w:lang w:val="bs-Latn-BA"/>
        </w:rPr>
        <w:t>a</w:t>
      </w:r>
      <w:r w:rsidR="00A13D29" w:rsidRPr="00314FA4">
        <w:rPr>
          <w:rFonts w:ascii="Ebrima" w:eastAsia="Times New Roman" w:hAnsi="Ebrima" w:cs="Times New Roman"/>
          <w:sz w:val="24"/>
          <w:szCs w:val="24"/>
          <w:lang w:val="bs-Latn-BA"/>
        </w:rPr>
        <w:t xml:space="preserve">renih, </w:t>
      </w:r>
      <w:r w:rsidR="000D7EA7" w:rsidRPr="00314FA4">
        <w:rPr>
          <w:rFonts w:ascii="Ebrima" w:eastAsia="Times New Roman" w:hAnsi="Ebrima" w:cs="Times New Roman"/>
          <w:sz w:val="24"/>
          <w:szCs w:val="24"/>
          <w:lang w:val="bs-Latn-BA"/>
        </w:rPr>
        <w:t>a ne utrošenih sredstava prethodnih godina.</w:t>
      </w:r>
    </w:p>
    <w:p w:rsidR="0040112E" w:rsidRPr="00314FA4" w:rsidRDefault="0040112E" w:rsidP="0040112E">
      <w:pPr>
        <w:spacing w:after="0" w:line="240" w:lineRule="auto"/>
        <w:jc w:val="both"/>
        <w:rPr>
          <w:rFonts w:ascii="Ebrima" w:eastAsia="Times New Roman" w:hAnsi="Ebrima" w:cs="Times New Roman"/>
          <w:b/>
          <w:sz w:val="24"/>
          <w:szCs w:val="24"/>
          <w:lang w:val="bs-Latn-BA"/>
        </w:rPr>
      </w:pPr>
    </w:p>
    <w:p w:rsidR="0040112E" w:rsidRPr="00314FA4" w:rsidRDefault="0040112E" w:rsidP="0040112E">
      <w:pPr>
        <w:spacing w:after="0" w:line="240" w:lineRule="auto"/>
        <w:jc w:val="both"/>
        <w:rPr>
          <w:rFonts w:ascii="Ebrima" w:eastAsia="Times New Roman" w:hAnsi="Ebrima" w:cs="Times New Roman"/>
          <w:b/>
          <w:sz w:val="24"/>
          <w:szCs w:val="24"/>
          <w:lang w:val="bs-Latn-BA"/>
        </w:rPr>
      </w:pPr>
      <w:r w:rsidRPr="00314FA4">
        <w:rPr>
          <w:rFonts w:ascii="Ebrima" w:eastAsia="Times New Roman" w:hAnsi="Ebrima" w:cs="Times New Roman"/>
          <w:b/>
          <w:sz w:val="24"/>
          <w:szCs w:val="24"/>
          <w:lang w:val="bs-Latn-BA"/>
        </w:rPr>
        <w:t>POREZNI PRIHODI</w:t>
      </w:r>
    </w:p>
    <w:tbl>
      <w:tblPr>
        <w:tblW w:w="9514" w:type="dxa"/>
        <w:tblLook w:val="04A0" w:firstRow="1" w:lastRow="0" w:firstColumn="1" w:lastColumn="0" w:noHBand="0" w:noVBand="1"/>
      </w:tblPr>
      <w:tblGrid>
        <w:gridCol w:w="5842"/>
        <w:gridCol w:w="1224"/>
        <w:gridCol w:w="1224"/>
        <w:gridCol w:w="1224"/>
      </w:tblGrid>
      <w:tr w:rsidR="00314FA4" w:rsidRPr="00314FA4" w:rsidTr="006210D9">
        <w:trPr>
          <w:trHeight w:val="259"/>
        </w:trPr>
        <w:tc>
          <w:tcPr>
            <w:tcW w:w="584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37EBC" w:rsidRPr="00314FA4" w:rsidRDefault="00C37EBC" w:rsidP="00C37EBC">
            <w:pPr>
              <w:spacing w:after="0" w:line="240" w:lineRule="auto"/>
              <w:jc w:val="center"/>
              <w:rPr>
                <w:rFonts w:ascii="Arial" w:eastAsia="Times New Roman" w:hAnsi="Arial" w:cs="Arial"/>
                <w:b/>
                <w:bCs/>
                <w:sz w:val="16"/>
                <w:szCs w:val="16"/>
              </w:rPr>
            </w:pPr>
            <w:r w:rsidRPr="00314FA4">
              <w:rPr>
                <w:rFonts w:ascii="Arial" w:eastAsia="Times New Roman" w:hAnsi="Arial" w:cs="Arial"/>
                <w:b/>
                <w:bCs/>
                <w:sz w:val="16"/>
                <w:szCs w:val="16"/>
              </w:rPr>
              <w:t>O P I S</w:t>
            </w:r>
          </w:p>
        </w:tc>
        <w:tc>
          <w:tcPr>
            <w:tcW w:w="122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37EBC" w:rsidRPr="00314FA4" w:rsidRDefault="00343DAA" w:rsidP="00C37EBC">
            <w:pPr>
              <w:spacing w:after="0" w:line="240" w:lineRule="auto"/>
              <w:jc w:val="center"/>
              <w:rPr>
                <w:rFonts w:ascii="Arial" w:eastAsia="Times New Roman" w:hAnsi="Arial" w:cs="Arial"/>
                <w:b/>
                <w:bCs/>
                <w:sz w:val="18"/>
                <w:szCs w:val="18"/>
              </w:rPr>
            </w:pPr>
            <w:r w:rsidRPr="00314FA4">
              <w:rPr>
                <w:rFonts w:ascii="Arial" w:eastAsia="Times New Roman" w:hAnsi="Arial" w:cs="Arial"/>
                <w:b/>
                <w:bCs/>
                <w:sz w:val="18"/>
                <w:szCs w:val="18"/>
              </w:rPr>
              <w:t>Budžet za 2024</w:t>
            </w:r>
            <w:r w:rsidR="008001C9" w:rsidRPr="00314FA4">
              <w:rPr>
                <w:rFonts w:ascii="Arial" w:eastAsia="Times New Roman" w:hAnsi="Arial" w:cs="Arial"/>
                <w:b/>
                <w:bCs/>
                <w:sz w:val="18"/>
                <w:szCs w:val="18"/>
              </w:rPr>
              <w:t>.god</w:t>
            </w:r>
          </w:p>
        </w:tc>
        <w:tc>
          <w:tcPr>
            <w:tcW w:w="122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37EBC" w:rsidRPr="00314FA4" w:rsidRDefault="00343DAA" w:rsidP="00C37EBC">
            <w:pPr>
              <w:spacing w:after="0" w:line="240" w:lineRule="auto"/>
              <w:jc w:val="center"/>
              <w:rPr>
                <w:rFonts w:ascii="Arial" w:eastAsia="Times New Roman" w:hAnsi="Arial" w:cs="Arial"/>
                <w:b/>
                <w:bCs/>
                <w:sz w:val="18"/>
                <w:szCs w:val="18"/>
              </w:rPr>
            </w:pPr>
            <w:r w:rsidRPr="00314FA4">
              <w:rPr>
                <w:rFonts w:ascii="Arial" w:eastAsia="Times New Roman" w:hAnsi="Arial" w:cs="Arial"/>
                <w:b/>
                <w:bCs/>
                <w:sz w:val="18"/>
                <w:szCs w:val="18"/>
              </w:rPr>
              <w:t>Budžet za 2025</w:t>
            </w:r>
            <w:r w:rsidR="008001C9" w:rsidRPr="00314FA4">
              <w:rPr>
                <w:rFonts w:ascii="Arial" w:eastAsia="Times New Roman" w:hAnsi="Arial" w:cs="Arial"/>
                <w:b/>
                <w:bCs/>
                <w:sz w:val="18"/>
                <w:szCs w:val="18"/>
              </w:rPr>
              <w:t>.god</w:t>
            </w:r>
          </w:p>
        </w:tc>
        <w:tc>
          <w:tcPr>
            <w:tcW w:w="122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37EBC" w:rsidRPr="00314FA4" w:rsidRDefault="00343DAA" w:rsidP="00C37EBC">
            <w:pPr>
              <w:spacing w:after="0" w:line="240" w:lineRule="auto"/>
              <w:jc w:val="center"/>
              <w:rPr>
                <w:rFonts w:ascii="Arial" w:eastAsia="Times New Roman" w:hAnsi="Arial" w:cs="Arial"/>
                <w:b/>
                <w:bCs/>
                <w:sz w:val="18"/>
                <w:szCs w:val="18"/>
              </w:rPr>
            </w:pPr>
            <w:r w:rsidRPr="00314FA4">
              <w:rPr>
                <w:rFonts w:ascii="Arial" w:eastAsia="Times New Roman" w:hAnsi="Arial" w:cs="Arial"/>
                <w:b/>
                <w:bCs/>
                <w:sz w:val="18"/>
                <w:szCs w:val="18"/>
              </w:rPr>
              <w:t>Budžet za 2026</w:t>
            </w:r>
            <w:r w:rsidR="008001C9" w:rsidRPr="00314FA4">
              <w:rPr>
                <w:rFonts w:ascii="Arial" w:eastAsia="Times New Roman" w:hAnsi="Arial" w:cs="Arial"/>
                <w:b/>
                <w:bCs/>
                <w:sz w:val="18"/>
                <w:szCs w:val="18"/>
              </w:rPr>
              <w:t>.god</w:t>
            </w:r>
          </w:p>
        </w:tc>
      </w:tr>
      <w:tr w:rsidR="00314FA4" w:rsidRPr="00314FA4" w:rsidTr="006210D9">
        <w:trPr>
          <w:trHeight w:val="259"/>
        </w:trPr>
        <w:tc>
          <w:tcPr>
            <w:tcW w:w="5842" w:type="dxa"/>
            <w:vMerge/>
            <w:tcBorders>
              <w:top w:val="single" w:sz="4" w:space="0" w:color="auto"/>
              <w:left w:val="single" w:sz="4" w:space="0" w:color="auto"/>
              <w:bottom w:val="single" w:sz="4" w:space="0" w:color="auto"/>
              <w:right w:val="single" w:sz="4" w:space="0" w:color="auto"/>
            </w:tcBorders>
            <w:vAlign w:val="center"/>
            <w:hideMark/>
          </w:tcPr>
          <w:p w:rsidR="00C37EBC" w:rsidRPr="00314FA4" w:rsidRDefault="00C37EBC" w:rsidP="00C37EBC">
            <w:pPr>
              <w:spacing w:after="0" w:line="240" w:lineRule="auto"/>
              <w:rPr>
                <w:rFonts w:ascii="Arial" w:eastAsia="Times New Roman" w:hAnsi="Arial" w:cs="Arial"/>
                <w:b/>
                <w:bCs/>
                <w:sz w:val="16"/>
                <w:szCs w:val="16"/>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C37EBC" w:rsidRPr="00314FA4" w:rsidRDefault="00C37EBC" w:rsidP="00C37EBC">
            <w:pPr>
              <w:spacing w:after="0" w:line="240" w:lineRule="auto"/>
              <w:rPr>
                <w:rFonts w:ascii="Arial" w:eastAsia="Times New Roman" w:hAnsi="Arial" w:cs="Arial"/>
                <w:b/>
                <w:bCs/>
                <w:sz w:val="18"/>
                <w:szCs w:val="18"/>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C37EBC" w:rsidRPr="00314FA4" w:rsidRDefault="00C37EBC" w:rsidP="00C37EBC">
            <w:pPr>
              <w:spacing w:after="0" w:line="240" w:lineRule="auto"/>
              <w:rPr>
                <w:rFonts w:ascii="Arial" w:eastAsia="Times New Roman" w:hAnsi="Arial" w:cs="Arial"/>
                <w:b/>
                <w:bCs/>
                <w:sz w:val="18"/>
                <w:szCs w:val="18"/>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C37EBC" w:rsidRPr="00314FA4" w:rsidRDefault="00C37EBC" w:rsidP="00C37EBC">
            <w:pPr>
              <w:spacing w:after="0" w:line="240" w:lineRule="auto"/>
              <w:rPr>
                <w:rFonts w:ascii="Arial" w:eastAsia="Times New Roman" w:hAnsi="Arial" w:cs="Arial"/>
                <w:b/>
                <w:bCs/>
                <w:sz w:val="18"/>
                <w:szCs w:val="18"/>
              </w:rPr>
            </w:pPr>
          </w:p>
        </w:tc>
      </w:tr>
      <w:tr w:rsidR="00314FA4" w:rsidRPr="00314FA4" w:rsidTr="006210D9">
        <w:trPr>
          <w:trHeight w:val="259"/>
        </w:trPr>
        <w:tc>
          <w:tcPr>
            <w:tcW w:w="5842" w:type="dxa"/>
            <w:vMerge/>
            <w:tcBorders>
              <w:top w:val="single" w:sz="4" w:space="0" w:color="auto"/>
              <w:left w:val="single" w:sz="4" w:space="0" w:color="auto"/>
              <w:bottom w:val="single" w:sz="4" w:space="0" w:color="auto"/>
              <w:right w:val="single" w:sz="4" w:space="0" w:color="auto"/>
            </w:tcBorders>
            <w:vAlign w:val="center"/>
            <w:hideMark/>
          </w:tcPr>
          <w:p w:rsidR="00C37EBC" w:rsidRPr="00314FA4" w:rsidRDefault="00C37EBC" w:rsidP="00C37EBC">
            <w:pPr>
              <w:spacing w:after="0" w:line="240" w:lineRule="auto"/>
              <w:rPr>
                <w:rFonts w:ascii="Arial" w:eastAsia="Times New Roman" w:hAnsi="Arial" w:cs="Arial"/>
                <w:b/>
                <w:bCs/>
                <w:sz w:val="16"/>
                <w:szCs w:val="16"/>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C37EBC" w:rsidRPr="00314FA4" w:rsidRDefault="00C37EBC" w:rsidP="00C37EBC">
            <w:pPr>
              <w:spacing w:after="0" w:line="240" w:lineRule="auto"/>
              <w:rPr>
                <w:rFonts w:ascii="Arial" w:eastAsia="Times New Roman" w:hAnsi="Arial" w:cs="Arial"/>
                <w:b/>
                <w:bCs/>
                <w:sz w:val="18"/>
                <w:szCs w:val="18"/>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C37EBC" w:rsidRPr="00314FA4" w:rsidRDefault="00C37EBC" w:rsidP="00C37EBC">
            <w:pPr>
              <w:spacing w:after="0" w:line="240" w:lineRule="auto"/>
              <w:rPr>
                <w:rFonts w:ascii="Arial" w:eastAsia="Times New Roman" w:hAnsi="Arial" w:cs="Arial"/>
                <w:b/>
                <w:bCs/>
                <w:sz w:val="18"/>
                <w:szCs w:val="18"/>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C37EBC" w:rsidRPr="00314FA4" w:rsidRDefault="00C37EBC" w:rsidP="00C37EBC">
            <w:pPr>
              <w:spacing w:after="0" w:line="240" w:lineRule="auto"/>
              <w:rPr>
                <w:rFonts w:ascii="Arial" w:eastAsia="Times New Roman" w:hAnsi="Arial" w:cs="Arial"/>
                <w:b/>
                <w:bCs/>
                <w:sz w:val="18"/>
                <w:szCs w:val="18"/>
              </w:rPr>
            </w:pPr>
          </w:p>
        </w:tc>
      </w:tr>
      <w:tr w:rsidR="00314FA4" w:rsidRPr="00314FA4" w:rsidTr="006210D9">
        <w:trPr>
          <w:trHeight w:val="259"/>
        </w:trPr>
        <w:tc>
          <w:tcPr>
            <w:tcW w:w="5842" w:type="dxa"/>
            <w:vMerge/>
            <w:tcBorders>
              <w:top w:val="single" w:sz="4" w:space="0" w:color="auto"/>
              <w:left w:val="single" w:sz="4" w:space="0" w:color="auto"/>
              <w:bottom w:val="single" w:sz="4" w:space="0" w:color="auto"/>
              <w:right w:val="single" w:sz="4" w:space="0" w:color="auto"/>
            </w:tcBorders>
            <w:vAlign w:val="center"/>
            <w:hideMark/>
          </w:tcPr>
          <w:p w:rsidR="00C37EBC" w:rsidRPr="00314FA4" w:rsidRDefault="00C37EBC" w:rsidP="00C37EBC">
            <w:pPr>
              <w:spacing w:after="0" w:line="240" w:lineRule="auto"/>
              <w:rPr>
                <w:rFonts w:ascii="Arial" w:eastAsia="Times New Roman" w:hAnsi="Arial" w:cs="Arial"/>
                <w:b/>
                <w:bCs/>
                <w:sz w:val="16"/>
                <w:szCs w:val="16"/>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C37EBC" w:rsidRPr="00314FA4" w:rsidRDefault="00C37EBC" w:rsidP="00C37EBC">
            <w:pPr>
              <w:spacing w:after="0" w:line="240" w:lineRule="auto"/>
              <w:rPr>
                <w:rFonts w:ascii="Arial" w:eastAsia="Times New Roman" w:hAnsi="Arial" w:cs="Arial"/>
                <w:b/>
                <w:bCs/>
                <w:sz w:val="18"/>
                <w:szCs w:val="18"/>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C37EBC" w:rsidRPr="00314FA4" w:rsidRDefault="00C37EBC" w:rsidP="00C37EBC">
            <w:pPr>
              <w:spacing w:after="0" w:line="240" w:lineRule="auto"/>
              <w:rPr>
                <w:rFonts w:ascii="Arial" w:eastAsia="Times New Roman" w:hAnsi="Arial" w:cs="Arial"/>
                <w:b/>
                <w:bCs/>
                <w:sz w:val="18"/>
                <w:szCs w:val="18"/>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C37EBC" w:rsidRPr="00314FA4" w:rsidRDefault="00C37EBC" w:rsidP="00C37EBC">
            <w:pPr>
              <w:spacing w:after="0" w:line="240" w:lineRule="auto"/>
              <w:rPr>
                <w:rFonts w:ascii="Arial" w:eastAsia="Times New Roman" w:hAnsi="Arial" w:cs="Arial"/>
                <w:b/>
                <w:bCs/>
                <w:sz w:val="18"/>
                <w:szCs w:val="18"/>
              </w:rPr>
            </w:pPr>
          </w:p>
        </w:tc>
      </w:tr>
      <w:tr w:rsidR="00314FA4" w:rsidRPr="00314FA4" w:rsidTr="006210D9">
        <w:trPr>
          <w:trHeight w:val="259"/>
        </w:trPr>
        <w:tc>
          <w:tcPr>
            <w:tcW w:w="5842" w:type="dxa"/>
            <w:tcBorders>
              <w:top w:val="nil"/>
              <w:left w:val="single" w:sz="4" w:space="0" w:color="auto"/>
              <w:bottom w:val="single" w:sz="4" w:space="0" w:color="auto"/>
              <w:right w:val="single" w:sz="4" w:space="0" w:color="auto"/>
            </w:tcBorders>
            <w:shd w:val="clear" w:color="auto" w:fill="auto"/>
            <w:noWrap/>
            <w:vAlign w:val="bottom"/>
            <w:hideMark/>
          </w:tcPr>
          <w:p w:rsidR="00C37EBC" w:rsidRPr="00314FA4" w:rsidRDefault="00C37EBC" w:rsidP="00C37EBC">
            <w:pPr>
              <w:spacing w:after="0" w:line="240" w:lineRule="auto"/>
              <w:rPr>
                <w:rFonts w:ascii="Arial" w:eastAsia="Times New Roman" w:hAnsi="Arial" w:cs="Arial"/>
                <w:sz w:val="20"/>
                <w:szCs w:val="20"/>
              </w:rPr>
            </w:pPr>
            <w:r w:rsidRPr="00314FA4">
              <w:rPr>
                <w:rFonts w:ascii="Arial" w:eastAsia="Times New Roman" w:hAnsi="Arial" w:cs="Arial"/>
                <w:sz w:val="20"/>
                <w:szCs w:val="20"/>
              </w:rPr>
              <w:t>Porezi na dobit pojedinaca i preduzeća</w:t>
            </w:r>
          </w:p>
        </w:tc>
        <w:tc>
          <w:tcPr>
            <w:tcW w:w="1224" w:type="dxa"/>
            <w:tcBorders>
              <w:top w:val="nil"/>
              <w:left w:val="nil"/>
              <w:bottom w:val="single" w:sz="4" w:space="0" w:color="auto"/>
              <w:right w:val="single" w:sz="4" w:space="0" w:color="auto"/>
            </w:tcBorders>
            <w:shd w:val="clear" w:color="auto" w:fill="auto"/>
            <w:noWrap/>
            <w:vAlign w:val="bottom"/>
            <w:hideMark/>
          </w:tcPr>
          <w:p w:rsidR="00C37EBC" w:rsidRPr="00314FA4" w:rsidRDefault="00343DAA" w:rsidP="00C37EBC">
            <w:pPr>
              <w:spacing w:after="0" w:line="240" w:lineRule="auto"/>
              <w:jc w:val="right"/>
              <w:rPr>
                <w:rFonts w:ascii="Arial" w:eastAsia="Times New Roman" w:hAnsi="Arial" w:cs="Arial"/>
                <w:sz w:val="20"/>
                <w:szCs w:val="20"/>
              </w:rPr>
            </w:pPr>
            <w:r w:rsidRPr="00314FA4">
              <w:rPr>
                <w:rFonts w:ascii="Arial" w:eastAsia="Times New Roman" w:hAnsi="Arial" w:cs="Arial"/>
                <w:sz w:val="20"/>
                <w:szCs w:val="20"/>
              </w:rPr>
              <w:t>1.596.406</w:t>
            </w:r>
          </w:p>
        </w:tc>
        <w:tc>
          <w:tcPr>
            <w:tcW w:w="1224" w:type="dxa"/>
            <w:tcBorders>
              <w:top w:val="nil"/>
              <w:left w:val="nil"/>
              <w:bottom w:val="single" w:sz="4" w:space="0" w:color="auto"/>
              <w:right w:val="single" w:sz="4" w:space="0" w:color="auto"/>
            </w:tcBorders>
            <w:shd w:val="clear" w:color="auto" w:fill="auto"/>
            <w:noWrap/>
            <w:vAlign w:val="bottom"/>
            <w:hideMark/>
          </w:tcPr>
          <w:p w:rsidR="00C37EBC" w:rsidRPr="00314FA4" w:rsidRDefault="00343DAA" w:rsidP="00C37EBC">
            <w:pPr>
              <w:spacing w:after="0" w:line="240" w:lineRule="auto"/>
              <w:jc w:val="right"/>
              <w:rPr>
                <w:rFonts w:ascii="Arial" w:eastAsia="Times New Roman" w:hAnsi="Arial" w:cs="Arial"/>
                <w:sz w:val="20"/>
                <w:szCs w:val="20"/>
              </w:rPr>
            </w:pPr>
            <w:r w:rsidRPr="00314FA4">
              <w:rPr>
                <w:rFonts w:ascii="Arial" w:eastAsia="Times New Roman" w:hAnsi="Arial" w:cs="Arial"/>
                <w:sz w:val="20"/>
                <w:szCs w:val="20"/>
              </w:rPr>
              <w:t>1.598.466</w:t>
            </w:r>
          </w:p>
        </w:tc>
        <w:tc>
          <w:tcPr>
            <w:tcW w:w="1224" w:type="dxa"/>
            <w:tcBorders>
              <w:top w:val="nil"/>
              <w:left w:val="nil"/>
              <w:bottom w:val="single" w:sz="4" w:space="0" w:color="auto"/>
              <w:right w:val="single" w:sz="4" w:space="0" w:color="auto"/>
            </w:tcBorders>
            <w:shd w:val="clear" w:color="auto" w:fill="auto"/>
            <w:noWrap/>
            <w:vAlign w:val="bottom"/>
            <w:hideMark/>
          </w:tcPr>
          <w:p w:rsidR="00C37EBC" w:rsidRPr="00314FA4" w:rsidRDefault="00343DAA" w:rsidP="00C37EBC">
            <w:pPr>
              <w:spacing w:after="0" w:line="240" w:lineRule="auto"/>
              <w:jc w:val="right"/>
              <w:rPr>
                <w:rFonts w:ascii="Arial" w:eastAsia="Times New Roman" w:hAnsi="Arial" w:cs="Arial"/>
                <w:sz w:val="20"/>
                <w:szCs w:val="20"/>
              </w:rPr>
            </w:pPr>
            <w:r w:rsidRPr="00314FA4">
              <w:rPr>
                <w:rFonts w:ascii="Arial" w:eastAsia="Times New Roman" w:hAnsi="Arial" w:cs="Arial"/>
                <w:sz w:val="20"/>
                <w:szCs w:val="20"/>
              </w:rPr>
              <w:t>1.600.529</w:t>
            </w:r>
          </w:p>
        </w:tc>
      </w:tr>
      <w:tr w:rsidR="00314FA4" w:rsidRPr="00314FA4" w:rsidTr="006210D9">
        <w:trPr>
          <w:trHeight w:val="259"/>
        </w:trPr>
        <w:tc>
          <w:tcPr>
            <w:tcW w:w="5842" w:type="dxa"/>
            <w:tcBorders>
              <w:top w:val="nil"/>
              <w:left w:val="single" w:sz="4" w:space="0" w:color="auto"/>
              <w:bottom w:val="single" w:sz="4" w:space="0" w:color="auto"/>
              <w:right w:val="single" w:sz="4" w:space="0" w:color="auto"/>
            </w:tcBorders>
            <w:shd w:val="clear" w:color="auto" w:fill="auto"/>
            <w:noWrap/>
            <w:vAlign w:val="bottom"/>
            <w:hideMark/>
          </w:tcPr>
          <w:p w:rsidR="00C37EBC" w:rsidRPr="00314FA4" w:rsidRDefault="00C37EBC" w:rsidP="00C37EBC">
            <w:pPr>
              <w:spacing w:after="0" w:line="240" w:lineRule="auto"/>
              <w:rPr>
                <w:rFonts w:ascii="Arial" w:eastAsia="Times New Roman" w:hAnsi="Arial" w:cs="Arial"/>
                <w:sz w:val="20"/>
                <w:szCs w:val="20"/>
              </w:rPr>
            </w:pPr>
            <w:r w:rsidRPr="00314FA4">
              <w:rPr>
                <w:rFonts w:ascii="Arial" w:eastAsia="Times New Roman" w:hAnsi="Arial" w:cs="Arial"/>
                <w:sz w:val="20"/>
                <w:szCs w:val="20"/>
              </w:rPr>
              <w:t>Porez na imovinu</w:t>
            </w:r>
          </w:p>
        </w:tc>
        <w:tc>
          <w:tcPr>
            <w:tcW w:w="1224" w:type="dxa"/>
            <w:tcBorders>
              <w:top w:val="nil"/>
              <w:left w:val="nil"/>
              <w:bottom w:val="single" w:sz="4" w:space="0" w:color="auto"/>
              <w:right w:val="single" w:sz="4" w:space="0" w:color="auto"/>
            </w:tcBorders>
            <w:shd w:val="clear" w:color="auto" w:fill="auto"/>
            <w:noWrap/>
            <w:vAlign w:val="bottom"/>
            <w:hideMark/>
          </w:tcPr>
          <w:p w:rsidR="00C37EBC" w:rsidRPr="00314FA4" w:rsidRDefault="00343DAA" w:rsidP="00C37EBC">
            <w:pPr>
              <w:spacing w:after="0" w:line="240" w:lineRule="auto"/>
              <w:jc w:val="right"/>
              <w:rPr>
                <w:rFonts w:ascii="Arial" w:eastAsia="Times New Roman" w:hAnsi="Arial" w:cs="Arial"/>
                <w:sz w:val="20"/>
                <w:szCs w:val="20"/>
              </w:rPr>
            </w:pPr>
            <w:r w:rsidRPr="00314FA4">
              <w:rPr>
                <w:rFonts w:ascii="Arial" w:eastAsia="Times New Roman" w:hAnsi="Arial" w:cs="Arial"/>
                <w:sz w:val="20"/>
                <w:szCs w:val="20"/>
              </w:rPr>
              <w:t>398.596</w:t>
            </w:r>
          </w:p>
        </w:tc>
        <w:tc>
          <w:tcPr>
            <w:tcW w:w="1224" w:type="dxa"/>
            <w:tcBorders>
              <w:top w:val="nil"/>
              <w:left w:val="nil"/>
              <w:bottom w:val="single" w:sz="4" w:space="0" w:color="auto"/>
              <w:right w:val="single" w:sz="4" w:space="0" w:color="auto"/>
            </w:tcBorders>
            <w:shd w:val="clear" w:color="auto" w:fill="auto"/>
            <w:noWrap/>
            <w:vAlign w:val="bottom"/>
            <w:hideMark/>
          </w:tcPr>
          <w:p w:rsidR="00C37EBC" w:rsidRPr="00314FA4" w:rsidRDefault="00343DAA" w:rsidP="00C37EBC">
            <w:pPr>
              <w:spacing w:after="0" w:line="240" w:lineRule="auto"/>
              <w:jc w:val="right"/>
              <w:rPr>
                <w:rFonts w:ascii="Arial" w:eastAsia="Times New Roman" w:hAnsi="Arial" w:cs="Arial"/>
                <w:sz w:val="20"/>
                <w:szCs w:val="20"/>
              </w:rPr>
            </w:pPr>
            <w:r w:rsidRPr="00314FA4">
              <w:rPr>
                <w:rFonts w:ascii="Arial" w:eastAsia="Times New Roman" w:hAnsi="Arial" w:cs="Arial"/>
                <w:sz w:val="20"/>
                <w:szCs w:val="20"/>
              </w:rPr>
              <w:t>398.596</w:t>
            </w:r>
          </w:p>
        </w:tc>
        <w:tc>
          <w:tcPr>
            <w:tcW w:w="1224" w:type="dxa"/>
            <w:tcBorders>
              <w:top w:val="nil"/>
              <w:left w:val="nil"/>
              <w:bottom w:val="single" w:sz="4" w:space="0" w:color="auto"/>
              <w:right w:val="single" w:sz="4" w:space="0" w:color="auto"/>
            </w:tcBorders>
            <w:shd w:val="clear" w:color="auto" w:fill="auto"/>
            <w:noWrap/>
            <w:vAlign w:val="bottom"/>
            <w:hideMark/>
          </w:tcPr>
          <w:p w:rsidR="00C37EBC" w:rsidRPr="00314FA4" w:rsidRDefault="00343DAA" w:rsidP="00C37EBC">
            <w:pPr>
              <w:spacing w:after="0" w:line="240" w:lineRule="auto"/>
              <w:jc w:val="right"/>
              <w:rPr>
                <w:rFonts w:ascii="Arial" w:eastAsia="Times New Roman" w:hAnsi="Arial" w:cs="Arial"/>
                <w:sz w:val="20"/>
                <w:szCs w:val="20"/>
              </w:rPr>
            </w:pPr>
            <w:r w:rsidRPr="00314FA4">
              <w:rPr>
                <w:rFonts w:ascii="Arial" w:eastAsia="Times New Roman" w:hAnsi="Arial" w:cs="Arial"/>
                <w:sz w:val="20"/>
                <w:szCs w:val="20"/>
              </w:rPr>
              <w:t>389.596</w:t>
            </w:r>
          </w:p>
        </w:tc>
      </w:tr>
      <w:tr w:rsidR="00314FA4" w:rsidRPr="00314FA4" w:rsidTr="006210D9">
        <w:trPr>
          <w:trHeight w:val="259"/>
        </w:trPr>
        <w:tc>
          <w:tcPr>
            <w:tcW w:w="5842" w:type="dxa"/>
            <w:tcBorders>
              <w:top w:val="nil"/>
              <w:left w:val="single" w:sz="4" w:space="0" w:color="auto"/>
              <w:bottom w:val="single" w:sz="4" w:space="0" w:color="auto"/>
              <w:right w:val="single" w:sz="4" w:space="0" w:color="auto"/>
            </w:tcBorders>
            <w:shd w:val="clear" w:color="auto" w:fill="auto"/>
            <w:noWrap/>
            <w:vAlign w:val="bottom"/>
            <w:hideMark/>
          </w:tcPr>
          <w:p w:rsidR="00C37EBC" w:rsidRPr="00314FA4" w:rsidRDefault="00C37EBC" w:rsidP="00C37EBC">
            <w:pPr>
              <w:spacing w:after="0" w:line="240" w:lineRule="auto"/>
              <w:rPr>
                <w:rFonts w:ascii="Arial" w:eastAsia="Times New Roman" w:hAnsi="Arial" w:cs="Arial"/>
                <w:sz w:val="20"/>
                <w:szCs w:val="20"/>
              </w:rPr>
            </w:pPr>
            <w:r w:rsidRPr="00314FA4">
              <w:rPr>
                <w:rFonts w:ascii="Arial" w:eastAsia="Times New Roman" w:hAnsi="Arial" w:cs="Arial"/>
                <w:sz w:val="20"/>
                <w:szCs w:val="20"/>
              </w:rPr>
              <w:t>Porez na dohodak</w:t>
            </w:r>
          </w:p>
        </w:tc>
        <w:tc>
          <w:tcPr>
            <w:tcW w:w="1224" w:type="dxa"/>
            <w:tcBorders>
              <w:top w:val="nil"/>
              <w:left w:val="nil"/>
              <w:bottom w:val="single" w:sz="4" w:space="0" w:color="auto"/>
              <w:right w:val="single" w:sz="4" w:space="0" w:color="auto"/>
            </w:tcBorders>
            <w:shd w:val="clear" w:color="auto" w:fill="auto"/>
            <w:noWrap/>
            <w:vAlign w:val="bottom"/>
            <w:hideMark/>
          </w:tcPr>
          <w:p w:rsidR="00C37EBC" w:rsidRPr="00314FA4" w:rsidRDefault="00343DAA" w:rsidP="00C37EBC">
            <w:pPr>
              <w:spacing w:after="0" w:line="240" w:lineRule="auto"/>
              <w:jc w:val="right"/>
              <w:rPr>
                <w:rFonts w:ascii="Arial" w:eastAsia="Times New Roman" w:hAnsi="Arial" w:cs="Arial"/>
                <w:sz w:val="20"/>
                <w:szCs w:val="20"/>
              </w:rPr>
            </w:pPr>
            <w:r w:rsidRPr="00314FA4">
              <w:rPr>
                <w:rFonts w:ascii="Arial" w:eastAsia="Times New Roman" w:hAnsi="Arial" w:cs="Arial"/>
                <w:sz w:val="20"/>
                <w:szCs w:val="20"/>
              </w:rPr>
              <w:t>5.641.725</w:t>
            </w:r>
          </w:p>
        </w:tc>
        <w:tc>
          <w:tcPr>
            <w:tcW w:w="1224" w:type="dxa"/>
            <w:tcBorders>
              <w:top w:val="nil"/>
              <w:left w:val="nil"/>
              <w:bottom w:val="single" w:sz="4" w:space="0" w:color="auto"/>
              <w:right w:val="single" w:sz="4" w:space="0" w:color="auto"/>
            </w:tcBorders>
            <w:shd w:val="clear" w:color="auto" w:fill="auto"/>
            <w:noWrap/>
            <w:vAlign w:val="bottom"/>
            <w:hideMark/>
          </w:tcPr>
          <w:p w:rsidR="00C37EBC" w:rsidRPr="00314FA4" w:rsidRDefault="00343DAA" w:rsidP="00C37EBC">
            <w:pPr>
              <w:spacing w:after="0" w:line="240" w:lineRule="auto"/>
              <w:jc w:val="right"/>
              <w:rPr>
                <w:rFonts w:ascii="Arial" w:eastAsia="Times New Roman" w:hAnsi="Arial" w:cs="Arial"/>
                <w:sz w:val="20"/>
                <w:szCs w:val="20"/>
              </w:rPr>
            </w:pPr>
            <w:r w:rsidRPr="00314FA4">
              <w:rPr>
                <w:rFonts w:ascii="Arial" w:eastAsia="Times New Roman" w:hAnsi="Arial" w:cs="Arial"/>
                <w:sz w:val="20"/>
                <w:szCs w:val="20"/>
              </w:rPr>
              <w:t>6.449.851</w:t>
            </w:r>
          </w:p>
        </w:tc>
        <w:tc>
          <w:tcPr>
            <w:tcW w:w="1224" w:type="dxa"/>
            <w:tcBorders>
              <w:top w:val="nil"/>
              <w:left w:val="nil"/>
              <w:bottom w:val="single" w:sz="4" w:space="0" w:color="auto"/>
              <w:right w:val="single" w:sz="4" w:space="0" w:color="auto"/>
            </w:tcBorders>
            <w:shd w:val="clear" w:color="auto" w:fill="auto"/>
            <w:noWrap/>
            <w:vAlign w:val="bottom"/>
            <w:hideMark/>
          </w:tcPr>
          <w:p w:rsidR="00C37EBC" w:rsidRPr="00314FA4" w:rsidRDefault="00343DAA" w:rsidP="00C37EBC">
            <w:pPr>
              <w:spacing w:after="0" w:line="240" w:lineRule="auto"/>
              <w:jc w:val="right"/>
              <w:rPr>
                <w:rFonts w:ascii="Arial" w:eastAsia="Times New Roman" w:hAnsi="Arial" w:cs="Arial"/>
                <w:sz w:val="20"/>
                <w:szCs w:val="20"/>
              </w:rPr>
            </w:pPr>
            <w:r w:rsidRPr="00314FA4">
              <w:rPr>
                <w:rFonts w:ascii="Arial" w:eastAsia="Times New Roman" w:hAnsi="Arial" w:cs="Arial"/>
                <w:sz w:val="20"/>
                <w:szCs w:val="20"/>
              </w:rPr>
              <w:t>7.373.733</w:t>
            </w:r>
          </w:p>
        </w:tc>
      </w:tr>
      <w:tr w:rsidR="00314FA4" w:rsidRPr="00314FA4" w:rsidTr="006210D9">
        <w:trPr>
          <w:trHeight w:val="259"/>
        </w:trPr>
        <w:tc>
          <w:tcPr>
            <w:tcW w:w="5842" w:type="dxa"/>
            <w:tcBorders>
              <w:top w:val="nil"/>
              <w:left w:val="single" w:sz="4" w:space="0" w:color="auto"/>
              <w:bottom w:val="single" w:sz="4" w:space="0" w:color="auto"/>
              <w:right w:val="single" w:sz="4" w:space="0" w:color="auto"/>
            </w:tcBorders>
            <w:shd w:val="clear" w:color="auto" w:fill="auto"/>
            <w:noWrap/>
            <w:vAlign w:val="bottom"/>
            <w:hideMark/>
          </w:tcPr>
          <w:p w:rsidR="00C37EBC" w:rsidRPr="00314FA4" w:rsidRDefault="00C37EBC" w:rsidP="00C37EBC">
            <w:pPr>
              <w:spacing w:after="0" w:line="240" w:lineRule="auto"/>
              <w:rPr>
                <w:rFonts w:ascii="Arial" w:eastAsia="Times New Roman" w:hAnsi="Arial" w:cs="Arial"/>
                <w:sz w:val="20"/>
                <w:szCs w:val="20"/>
              </w:rPr>
            </w:pPr>
            <w:r w:rsidRPr="00314FA4">
              <w:rPr>
                <w:rFonts w:ascii="Arial" w:eastAsia="Times New Roman" w:hAnsi="Arial" w:cs="Arial"/>
                <w:sz w:val="20"/>
                <w:szCs w:val="20"/>
              </w:rPr>
              <w:t>Prihod od indirektnih poreza koji pripadaju kantonu</w:t>
            </w:r>
          </w:p>
        </w:tc>
        <w:tc>
          <w:tcPr>
            <w:tcW w:w="1224" w:type="dxa"/>
            <w:tcBorders>
              <w:top w:val="nil"/>
              <w:left w:val="nil"/>
              <w:bottom w:val="single" w:sz="4" w:space="0" w:color="auto"/>
              <w:right w:val="single" w:sz="4" w:space="0" w:color="auto"/>
            </w:tcBorders>
            <w:shd w:val="clear" w:color="auto" w:fill="auto"/>
            <w:noWrap/>
            <w:vAlign w:val="bottom"/>
            <w:hideMark/>
          </w:tcPr>
          <w:p w:rsidR="00C37EBC" w:rsidRPr="00314FA4" w:rsidRDefault="00343DAA" w:rsidP="00C37EBC">
            <w:pPr>
              <w:spacing w:after="0" w:line="240" w:lineRule="auto"/>
              <w:jc w:val="right"/>
              <w:rPr>
                <w:rFonts w:ascii="Arial" w:eastAsia="Times New Roman" w:hAnsi="Arial" w:cs="Arial"/>
                <w:sz w:val="20"/>
                <w:szCs w:val="20"/>
              </w:rPr>
            </w:pPr>
            <w:r w:rsidRPr="00314FA4">
              <w:rPr>
                <w:rFonts w:ascii="Arial" w:eastAsia="Times New Roman" w:hAnsi="Arial" w:cs="Arial"/>
                <w:sz w:val="20"/>
                <w:szCs w:val="20"/>
              </w:rPr>
              <w:t>33.628.254</w:t>
            </w:r>
          </w:p>
        </w:tc>
        <w:tc>
          <w:tcPr>
            <w:tcW w:w="1224" w:type="dxa"/>
            <w:tcBorders>
              <w:top w:val="nil"/>
              <w:left w:val="nil"/>
              <w:bottom w:val="single" w:sz="4" w:space="0" w:color="auto"/>
              <w:right w:val="single" w:sz="4" w:space="0" w:color="auto"/>
            </w:tcBorders>
            <w:shd w:val="clear" w:color="auto" w:fill="auto"/>
            <w:noWrap/>
            <w:vAlign w:val="bottom"/>
            <w:hideMark/>
          </w:tcPr>
          <w:p w:rsidR="00C37EBC" w:rsidRPr="00314FA4" w:rsidRDefault="00343DAA" w:rsidP="00C37EBC">
            <w:pPr>
              <w:spacing w:after="0" w:line="240" w:lineRule="auto"/>
              <w:jc w:val="right"/>
              <w:rPr>
                <w:rFonts w:ascii="Arial" w:eastAsia="Times New Roman" w:hAnsi="Arial" w:cs="Arial"/>
                <w:sz w:val="20"/>
                <w:szCs w:val="20"/>
              </w:rPr>
            </w:pPr>
            <w:r w:rsidRPr="00314FA4">
              <w:rPr>
                <w:rFonts w:ascii="Arial" w:eastAsia="Times New Roman" w:hAnsi="Arial" w:cs="Arial"/>
                <w:sz w:val="20"/>
                <w:szCs w:val="20"/>
              </w:rPr>
              <w:t>35.232.718</w:t>
            </w:r>
          </w:p>
        </w:tc>
        <w:tc>
          <w:tcPr>
            <w:tcW w:w="1224" w:type="dxa"/>
            <w:tcBorders>
              <w:top w:val="nil"/>
              <w:left w:val="nil"/>
              <w:bottom w:val="single" w:sz="4" w:space="0" w:color="auto"/>
              <w:right w:val="single" w:sz="4" w:space="0" w:color="auto"/>
            </w:tcBorders>
            <w:shd w:val="clear" w:color="auto" w:fill="auto"/>
            <w:noWrap/>
            <w:vAlign w:val="bottom"/>
            <w:hideMark/>
          </w:tcPr>
          <w:p w:rsidR="00C37EBC" w:rsidRPr="00314FA4" w:rsidRDefault="00343DAA" w:rsidP="00C37EBC">
            <w:pPr>
              <w:spacing w:after="0" w:line="240" w:lineRule="auto"/>
              <w:jc w:val="right"/>
              <w:rPr>
                <w:rFonts w:ascii="Arial" w:eastAsia="Times New Roman" w:hAnsi="Arial" w:cs="Arial"/>
                <w:sz w:val="20"/>
                <w:szCs w:val="20"/>
              </w:rPr>
            </w:pPr>
            <w:r w:rsidRPr="00314FA4">
              <w:rPr>
                <w:rFonts w:ascii="Arial" w:eastAsia="Times New Roman" w:hAnsi="Arial" w:cs="Arial"/>
                <w:sz w:val="20"/>
                <w:szCs w:val="20"/>
              </w:rPr>
              <w:t>31.671.916</w:t>
            </w:r>
          </w:p>
        </w:tc>
      </w:tr>
      <w:tr w:rsidR="00314FA4" w:rsidRPr="00314FA4" w:rsidTr="006210D9">
        <w:trPr>
          <w:trHeight w:val="259"/>
        </w:trPr>
        <w:tc>
          <w:tcPr>
            <w:tcW w:w="5842" w:type="dxa"/>
            <w:tcBorders>
              <w:top w:val="nil"/>
              <w:left w:val="single" w:sz="4" w:space="0" w:color="auto"/>
              <w:bottom w:val="single" w:sz="4" w:space="0" w:color="auto"/>
              <w:right w:val="single" w:sz="4" w:space="0" w:color="auto"/>
            </w:tcBorders>
            <w:shd w:val="clear" w:color="auto" w:fill="auto"/>
            <w:noWrap/>
            <w:vAlign w:val="bottom"/>
            <w:hideMark/>
          </w:tcPr>
          <w:p w:rsidR="00C37EBC" w:rsidRPr="00314FA4" w:rsidRDefault="00C37EBC" w:rsidP="00C37EBC">
            <w:pPr>
              <w:spacing w:after="0" w:line="240" w:lineRule="auto"/>
              <w:rPr>
                <w:rFonts w:ascii="Arial" w:eastAsia="Times New Roman" w:hAnsi="Arial" w:cs="Arial"/>
                <w:sz w:val="20"/>
                <w:szCs w:val="20"/>
              </w:rPr>
            </w:pPr>
            <w:r w:rsidRPr="00314FA4">
              <w:rPr>
                <w:rFonts w:ascii="Arial" w:eastAsia="Times New Roman" w:hAnsi="Arial" w:cs="Arial"/>
                <w:sz w:val="20"/>
                <w:szCs w:val="20"/>
              </w:rPr>
              <w:t>Prihod od indirektnih poreza koji pripadaju direkciji za cesta</w:t>
            </w:r>
          </w:p>
        </w:tc>
        <w:tc>
          <w:tcPr>
            <w:tcW w:w="1224" w:type="dxa"/>
            <w:tcBorders>
              <w:top w:val="nil"/>
              <w:left w:val="nil"/>
              <w:bottom w:val="single" w:sz="4" w:space="0" w:color="auto"/>
              <w:right w:val="single" w:sz="4" w:space="0" w:color="auto"/>
            </w:tcBorders>
            <w:shd w:val="clear" w:color="auto" w:fill="auto"/>
            <w:noWrap/>
            <w:vAlign w:val="bottom"/>
            <w:hideMark/>
          </w:tcPr>
          <w:p w:rsidR="00C37EBC" w:rsidRPr="00314FA4" w:rsidRDefault="00343DAA" w:rsidP="00C37EBC">
            <w:pPr>
              <w:spacing w:after="0" w:line="240" w:lineRule="auto"/>
              <w:jc w:val="right"/>
              <w:rPr>
                <w:rFonts w:ascii="Arial" w:eastAsia="Times New Roman" w:hAnsi="Arial" w:cs="Arial"/>
                <w:sz w:val="20"/>
                <w:szCs w:val="20"/>
              </w:rPr>
            </w:pPr>
            <w:r w:rsidRPr="00314FA4">
              <w:rPr>
                <w:rFonts w:ascii="Arial" w:eastAsia="Times New Roman" w:hAnsi="Arial" w:cs="Arial"/>
                <w:sz w:val="20"/>
                <w:szCs w:val="20"/>
              </w:rPr>
              <w:t>591.341</w:t>
            </w:r>
          </w:p>
        </w:tc>
        <w:tc>
          <w:tcPr>
            <w:tcW w:w="1224" w:type="dxa"/>
            <w:tcBorders>
              <w:top w:val="nil"/>
              <w:left w:val="nil"/>
              <w:bottom w:val="single" w:sz="4" w:space="0" w:color="auto"/>
              <w:right w:val="single" w:sz="4" w:space="0" w:color="auto"/>
            </w:tcBorders>
            <w:shd w:val="clear" w:color="auto" w:fill="auto"/>
            <w:noWrap/>
            <w:vAlign w:val="bottom"/>
            <w:hideMark/>
          </w:tcPr>
          <w:p w:rsidR="00C37EBC" w:rsidRPr="00314FA4" w:rsidRDefault="00343DAA" w:rsidP="00C37EBC">
            <w:pPr>
              <w:spacing w:after="0" w:line="240" w:lineRule="auto"/>
              <w:jc w:val="right"/>
              <w:rPr>
                <w:rFonts w:ascii="Arial" w:eastAsia="Times New Roman" w:hAnsi="Arial" w:cs="Arial"/>
                <w:sz w:val="20"/>
                <w:szCs w:val="20"/>
              </w:rPr>
            </w:pPr>
            <w:r w:rsidRPr="00314FA4">
              <w:rPr>
                <w:rFonts w:ascii="Arial" w:eastAsia="Times New Roman" w:hAnsi="Arial" w:cs="Arial"/>
                <w:sz w:val="20"/>
                <w:szCs w:val="20"/>
              </w:rPr>
              <w:t>642.766</w:t>
            </w:r>
          </w:p>
        </w:tc>
        <w:tc>
          <w:tcPr>
            <w:tcW w:w="1224" w:type="dxa"/>
            <w:tcBorders>
              <w:top w:val="nil"/>
              <w:left w:val="nil"/>
              <w:bottom w:val="single" w:sz="4" w:space="0" w:color="auto"/>
              <w:right w:val="single" w:sz="4" w:space="0" w:color="auto"/>
            </w:tcBorders>
            <w:shd w:val="clear" w:color="auto" w:fill="auto"/>
            <w:noWrap/>
            <w:vAlign w:val="bottom"/>
            <w:hideMark/>
          </w:tcPr>
          <w:p w:rsidR="00C37EBC" w:rsidRPr="00314FA4" w:rsidRDefault="00343DAA" w:rsidP="00C37EBC">
            <w:pPr>
              <w:spacing w:after="0" w:line="240" w:lineRule="auto"/>
              <w:jc w:val="right"/>
              <w:rPr>
                <w:rFonts w:ascii="Arial" w:eastAsia="Times New Roman" w:hAnsi="Arial" w:cs="Arial"/>
                <w:sz w:val="20"/>
                <w:szCs w:val="20"/>
              </w:rPr>
            </w:pPr>
            <w:r w:rsidRPr="00314FA4">
              <w:rPr>
                <w:rFonts w:ascii="Arial" w:eastAsia="Times New Roman" w:hAnsi="Arial" w:cs="Arial"/>
                <w:sz w:val="20"/>
                <w:szCs w:val="20"/>
              </w:rPr>
              <w:t>694.187</w:t>
            </w:r>
          </w:p>
        </w:tc>
      </w:tr>
      <w:tr w:rsidR="00314FA4" w:rsidRPr="00314FA4" w:rsidTr="006210D9">
        <w:trPr>
          <w:trHeight w:val="259"/>
        </w:trPr>
        <w:tc>
          <w:tcPr>
            <w:tcW w:w="5842" w:type="dxa"/>
            <w:tcBorders>
              <w:top w:val="nil"/>
              <w:left w:val="single" w:sz="4" w:space="0" w:color="auto"/>
              <w:bottom w:val="single" w:sz="4" w:space="0" w:color="auto"/>
              <w:right w:val="single" w:sz="4" w:space="0" w:color="auto"/>
            </w:tcBorders>
            <w:shd w:val="clear" w:color="auto" w:fill="auto"/>
            <w:noWrap/>
            <w:vAlign w:val="bottom"/>
            <w:hideMark/>
          </w:tcPr>
          <w:p w:rsidR="00C37EBC" w:rsidRPr="00314FA4" w:rsidRDefault="00C37EBC" w:rsidP="00C37EBC">
            <w:pPr>
              <w:spacing w:after="0" w:line="240" w:lineRule="auto"/>
              <w:rPr>
                <w:rFonts w:ascii="Arial" w:eastAsia="Times New Roman" w:hAnsi="Arial" w:cs="Arial"/>
                <w:sz w:val="20"/>
                <w:szCs w:val="20"/>
              </w:rPr>
            </w:pPr>
            <w:r w:rsidRPr="00314FA4">
              <w:rPr>
                <w:rFonts w:ascii="Arial" w:eastAsia="Times New Roman" w:hAnsi="Arial" w:cs="Arial"/>
                <w:sz w:val="20"/>
                <w:szCs w:val="20"/>
              </w:rPr>
              <w:t>Prihodi od indirektnih poreza na ime finansiranja auto cesta u Federaciji BiH</w:t>
            </w:r>
          </w:p>
        </w:tc>
        <w:tc>
          <w:tcPr>
            <w:tcW w:w="1224" w:type="dxa"/>
            <w:tcBorders>
              <w:top w:val="nil"/>
              <w:left w:val="nil"/>
              <w:bottom w:val="single" w:sz="4" w:space="0" w:color="auto"/>
              <w:right w:val="single" w:sz="4" w:space="0" w:color="auto"/>
            </w:tcBorders>
            <w:shd w:val="clear" w:color="auto" w:fill="auto"/>
            <w:noWrap/>
            <w:vAlign w:val="bottom"/>
            <w:hideMark/>
          </w:tcPr>
          <w:p w:rsidR="00C37EBC" w:rsidRPr="00314FA4" w:rsidRDefault="00343DAA" w:rsidP="00C37EBC">
            <w:pPr>
              <w:spacing w:after="0" w:line="240" w:lineRule="auto"/>
              <w:jc w:val="right"/>
              <w:rPr>
                <w:rFonts w:ascii="Arial" w:eastAsia="Times New Roman" w:hAnsi="Arial" w:cs="Arial"/>
                <w:sz w:val="20"/>
                <w:szCs w:val="20"/>
              </w:rPr>
            </w:pPr>
            <w:r w:rsidRPr="00314FA4">
              <w:rPr>
                <w:rFonts w:ascii="Arial" w:eastAsia="Times New Roman" w:hAnsi="Arial" w:cs="Arial"/>
                <w:sz w:val="20"/>
                <w:szCs w:val="20"/>
              </w:rPr>
              <w:t>184.411</w:t>
            </w:r>
          </w:p>
        </w:tc>
        <w:tc>
          <w:tcPr>
            <w:tcW w:w="1224" w:type="dxa"/>
            <w:tcBorders>
              <w:top w:val="nil"/>
              <w:left w:val="nil"/>
              <w:bottom w:val="single" w:sz="4" w:space="0" w:color="auto"/>
              <w:right w:val="single" w:sz="4" w:space="0" w:color="auto"/>
            </w:tcBorders>
            <w:shd w:val="clear" w:color="auto" w:fill="auto"/>
            <w:noWrap/>
            <w:vAlign w:val="bottom"/>
            <w:hideMark/>
          </w:tcPr>
          <w:p w:rsidR="00C37EBC" w:rsidRPr="00314FA4" w:rsidRDefault="00343DAA" w:rsidP="00C37EBC">
            <w:pPr>
              <w:spacing w:after="0" w:line="240" w:lineRule="auto"/>
              <w:jc w:val="right"/>
              <w:rPr>
                <w:rFonts w:ascii="Arial" w:eastAsia="Times New Roman" w:hAnsi="Arial" w:cs="Arial"/>
                <w:sz w:val="20"/>
                <w:szCs w:val="20"/>
              </w:rPr>
            </w:pPr>
            <w:r w:rsidRPr="00314FA4">
              <w:rPr>
                <w:rFonts w:ascii="Arial" w:eastAsia="Times New Roman" w:hAnsi="Arial" w:cs="Arial"/>
                <w:sz w:val="20"/>
                <w:szCs w:val="20"/>
              </w:rPr>
              <w:t>189.912</w:t>
            </w:r>
          </w:p>
        </w:tc>
        <w:tc>
          <w:tcPr>
            <w:tcW w:w="1224" w:type="dxa"/>
            <w:tcBorders>
              <w:top w:val="nil"/>
              <w:left w:val="nil"/>
              <w:bottom w:val="single" w:sz="4" w:space="0" w:color="auto"/>
              <w:right w:val="single" w:sz="4" w:space="0" w:color="auto"/>
            </w:tcBorders>
            <w:shd w:val="clear" w:color="auto" w:fill="auto"/>
            <w:noWrap/>
            <w:vAlign w:val="bottom"/>
            <w:hideMark/>
          </w:tcPr>
          <w:p w:rsidR="00C37EBC" w:rsidRPr="00314FA4" w:rsidRDefault="00343DAA" w:rsidP="00C37EBC">
            <w:pPr>
              <w:spacing w:after="0" w:line="240" w:lineRule="auto"/>
              <w:jc w:val="right"/>
              <w:rPr>
                <w:rFonts w:ascii="Arial" w:eastAsia="Times New Roman" w:hAnsi="Arial" w:cs="Arial"/>
                <w:sz w:val="20"/>
                <w:szCs w:val="20"/>
              </w:rPr>
            </w:pPr>
            <w:r w:rsidRPr="00314FA4">
              <w:rPr>
                <w:rFonts w:ascii="Arial" w:eastAsia="Times New Roman" w:hAnsi="Arial" w:cs="Arial"/>
                <w:sz w:val="20"/>
                <w:szCs w:val="20"/>
              </w:rPr>
              <w:t>189.912</w:t>
            </w:r>
          </w:p>
        </w:tc>
      </w:tr>
    </w:tbl>
    <w:p w:rsidR="005E1086" w:rsidRPr="00314FA4" w:rsidRDefault="005E1086" w:rsidP="0040112E">
      <w:pPr>
        <w:spacing w:after="0" w:line="240" w:lineRule="auto"/>
        <w:jc w:val="both"/>
        <w:rPr>
          <w:rFonts w:ascii="Ebrima" w:eastAsia="Times New Roman" w:hAnsi="Ebrima" w:cs="Times New Roman"/>
          <w:b/>
          <w:sz w:val="24"/>
          <w:szCs w:val="24"/>
          <w:lang w:val="bs-Latn-BA"/>
        </w:rPr>
      </w:pPr>
    </w:p>
    <w:p w:rsidR="0040112E" w:rsidRPr="00314FA4" w:rsidRDefault="0040112E" w:rsidP="0040112E">
      <w:pPr>
        <w:spacing w:after="0" w:line="240" w:lineRule="auto"/>
        <w:jc w:val="both"/>
        <w:rPr>
          <w:rFonts w:ascii="Ebrima" w:eastAsia="Times New Roman" w:hAnsi="Ebrima" w:cs="Times New Roman"/>
          <w:b/>
          <w:bCs/>
          <w:iCs/>
          <w:sz w:val="24"/>
          <w:szCs w:val="24"/>
          <w:lang w:val="bs-Latn-BA"/>
        </w:rPr>
      </w:pPr>
      <w:r w:rsidRPr="00314FA4">
        <w:rPr>
          <w:rFonts w:ascii="Ebrima" w:eastAsia="Times New Roman" w:hAnsi="Ebrima" w:cs="Times New Roman"/>
          <w:b/>
          <w:bCs/>
          <w:iCs/>
          <w:sz w:val="24"/>
          <w:szCs w:val="24"/>
          <w:lang w:val="bs-Latn-BA"/>
        </w:rPr>
        <w:t>Prihodi od indirektnih poreza</w:t>
      </w:r>
    </w:p>
    <w:p w:rsidR="00FC6E99" w:rsidRPr="00314FA4" w:rsidRDefault="00FC6E99" w:rsidP="0040112E">
      <w:pPr>
        <w:spacing w:after="0" w:line="240" w:lineRule="auto"/>
        <w:jc w:val="both"/>
        <w:rPr>
          <w:rFonts w:ascii="Ebrima" w:eastAsia="Times New Roman" w:hAnsi="Ebrima" w:cs="Times New Roman"/>
          <w:b/>
          <w:bCs/>
          <w:iCs/>
          <w:sz w:val="24"/>
          <w:szCs w:val="24"/>
          <w:lang w:val="bs-Latn-BA"/>
        </w:rPr>
      </w:pPr>
    </w:p>
    <w:p w:rsidR="0040112E" w:rsidRPr="00314FA4" w:rsidRDefault="0040112E" w:rsidP="00F96610">
      <w:pPr>
        <w:spacing w:after="0" w:line="240" w:lineRule="auto"/>
        <w:jc w:val="both"/>
        <w:rPr>
          <w:rFonts w:ascii="Ebrima" w:eastAsia="Times New Roman" w:hAnsi="Ebrima" w:cs="Times New Roman"/>
          <w:sz w:val="24"/>
          <w:szCs w:val="24"/>
          <w:lang w:val="bs-Latn-BA"/>
        </w:rPr>
      </w:pPr>
      <w:r w:rsidRPr="00314FA4">
        <w:rPr>
          <w:rFonts w:ascii="Ebrima" w:eastAsia="Times New Roman" w:hAnsi="Ebrima" w:cs="Times New Roman"/>
          <w:sz w:val="24"/>
          <w:szCs w:val="24"/>
          <w:lang w:val="bs-Latn-BA"/>
        </w:rPr>
        <w:t>Najznačajnije porezne prihode čine</w:t>
      </w:r>
      <w:r w:rsidR="006A1024" w:rsidRPr="00314FA4">
        <w:rPr>
          <w:rFonts w:ascii="Ebrima" w:eastAsia="Times New Roman" w:hAnsi="Ebrima" w:cs="Times New Roman"/>
          <w:sz w:val="24"/>
          <w:szCs w:val="24"/>
          <w:lang w:val="bs-Latn-BA"/>
        </w:rPr>
        <w:t>:</w:t>
      </w:r>
      <w:r w:rsidRPr="00314FA4">
        <w:rPr>
          <w:rFonts w:ascii="Ebrima" w:eastAsia="Times New Roman" w:hAnsi="Ebrima" w:cs="Times New Roman"/>
          <w:sz w:val="24"/>
          <w:szCs w:val="24"/>
          <w:lang w:val="bs-Latn-BA"/>
        </w:rPr>
        <w:t xml:space="preserve"> Prihodi od indirektnih poreza koje prikuplja Uprava za indirektno </w:t>
      </w:r>
      <w:r w:rsidR="006A1024" w:rsidRPr="00314FA4">
        <w:rPr>
          <w:rFonts w:ascii="Ebrima" w:eastAsia="Times New Roman" w:hAnsi="Ebrima" w:cs="Times New Roman"/>
          <w:sz w:val="24"/>
          <w:szCs w:val="24"/>
          <w:lang w:val="bs-Latn-BA"/>
        </w:rPr>
        <w:t>oporezivanje</w:t>
      </w:r>
      <w:r w:rsidRPr="00314FA4">
        <w:rPr>
          <w:rFonts w:ascii="Ebrima" w:eastAsia="Times New Roman" w:hAnsi="Ebrima" w:cs="Times New Roman"/>
          <w:sz w:val="24"/>
          <w:szCs w:val="24"/>
          <w:lang w:val="bs-Latn-BA"/>
        </w:rPr>
        <w:t xml:space="preserve"> a ukl</w:t>
      </w:r>
      <w:r w:rsidR="00A33983" w:rsidRPr="00314FA4">
        <w:rPr>
          <w:rFonts w:ascii="Ebrima" w:eastAsia="Times New Roman" w:hAnsi="Ebrima" w:cs="Times New Roman"/>
          <w:sz w:val="24"/>
          <w:szCs w:val="24"/>
          <w:lang w:val="bs-Latn-BA"/>
        </w:rPr>
        <w:t>j</w:t>
      </w:r>
      <w:r w:rsidRPr="00314FA4">
        <w:rPr>
          <w:rFonts w:ascii="Ebrima" w:eastAsia="Times New Roman" w:hAnsi="Ebrima" w:cs="Times New Roman"/>
          <w:sz w:val="24"/>
          <w:szCs w:val="24"/>
          <w:lang w:val="bs-Latn-BA"/>
        </w:rPr>
        <w:t>učuju: PDV, carinske dadžbine, akcize i naknade za puteve.</w:t>
      </w:r>
    </w:p>
    <w:p w:rsidR="008C0668" w:rsidRPr="00314FA4" w:rsidRDefault="0040112E" w:rsidP="00655E04">
      <w:pPr>
        <w:spacing w:after="0"/>
        <w:jc w:val="both"/>
        <w:rPr>
          <w:rFonts w:eastAsia="Verdana" w:cs="Verdana"/>
          <w:sz w:val="24"/>
          <w:szCs w:val="24"/>
        </w:rPr>
      </w:pPr>
      <w:r w:rsidRPr="00314FA4">
        <w:rPr>
          <w:rFonts w:ascii="Ebrima" w:eastAsia="Times New Roman" w:hAnsi="Ebrima" w:cs="Times New Roman"/>
          <w:sz w:val="24"/>
          <w:szCs w:val="24"/>
          <w:lang w:val="bs-Latn-BA"/>
        </w:rPr>
        <w:t>Prikupljeni prihodi od ovih poreza se uplaćuju na Jedinstveni račun koji vodi Uprava za indirektno oporezivanje, a raspodjela sa računa se vrši u skladu sa Zakonom o sistemu indirektnog</w:t>
      </w:r>
      <w:r w:rsidRPr="00314FA4">
        <w:rPr>
          <w:rFonts w:ascii="Times New Roman" w:eastAsia="Times New Roman" w:hAnsi="Times New Roman" w:cs="Times New Roman"/>
          <w:sz w:val="24"/>
          <w:szCs w:val="24"/>
          <w:lang w:val="bs-Latn-BA"/>
        </w:rPr>
        <w:t xml:space="preserve"> </w:t>
      </w:r>
      <w:r w:rsidRPr="00314FA4">
        <w:rPr>
          <w:rFonts w:ascii="Ebrima" w:eastAsia="Times New Roman" w:hAnsi="Ebrima" w:cs="Times New Roman"/>
          <w:sz w:val="24"/>
          <w:szCs w:val="24"/>
          <w:lang w:val="bs-Latn-BA"/>
        </w:rPr>
        <w:t xml:space="preserve">oporezivanja u Bosni i Hercegovini („Službeni glasnik BiH“, broj: 44/03, 52/04, </w:t>
      </w:r>
      <w:r w:rsidRPr="00314FA4">
        <w:rPr>
          <w:rFonts w:ascii="Ebrima" w:eastAsia="Times New Roman" w:hAnsi="Ebrima" w:cs="Times New Roman"/>
          <w:sz w:val="24"/>
          <w:szCs w:val="24"/>
          <w:lang w:val="bs-Latn-BA"/>
        </w:rPr>
        <w:lastRenderedPageBreak/>
        <w:t xml:space="preserve">34/07, 4/08, 49/09) i Zakonom o uplatama na Jedinstveni račun i raspodjelu prihoda („Službeni glasnik BiH“, broj: 55/04, 34/07, 49/09) na način </w:t>
      </w:r>
      <w:r w:rsidR="00655E04" w:rsidRPr="00314FA4">
        <w:rPr>
          <w:rFonts w:ascii="Ebrima" w:eastAsia="Times New Roman" w:hAnsi="Ebrima" w:cs="Times New Roman"/>
          <w:sz w:val="24"/>
          <w:szCs w:val="24"/>
          <w:lang w:val="bs-Latn-BA"/>
        </w:rPr>
        <w:t xml:space="preserve">kako je to definisao </w:t>
      </w:r>
      <w:r w:rsidR="008C0668" w:rsidRPr="00314FA4">
        <w:rPr>
          <w:rFonts w:eastAsia="Verdana" w:cs="Verdana"/>
          <w:sz w:val="24"/>
          <w:szCs w:val="24"/>
        </w:rPr>
        <w:t xml:space="preserve">Sistem raspodjele prihoda od indirektnih poreza  </w:t>
      </w:r>
    </w:p>
    <w:p w:rsidR="008C0668" w:rsidRPr="00314FA4" w:rsidRDefault="008C0668" w:rsidP="00073C1B">
      <w:pPr>
        <w:spacing w:after="0"/>
        <w:jc w:val="both"/>
        <w:rPr>
          <w:rFonts w:eastAsia="Verdana" w:cs="Verdana"/>
          <w:sz w:val="24"/>
          <w:szCs w:val="24"/>
        </w:rPr>
      </w:pPr>
      <w:r w:rsidRPr="00314FA4">
        <w:rPr>
          <w:rFonts w:eastAsia="Verdana" w:cs="Verdana"/>
          <w:sz w:val="24"/>
          <w:szCs w:val="24"/>
        </w:rPr>
        <w:t>Sistem raspodjele prihoda od indirektnih poreza u BiH prikazan je na grafikonu 1. iz kojeg se vidi da prioritet u raspodjeli imaju povrati poreznim obveznicima. Nakon izdvojenog dijela sredstava za povrate, ukupan iznos prikupljen na Jedinstvenom računu (PDV, carine, akcize, putarina 0,15 KM) umanjuje se za iznos minimalne rezerve koja je potrebna UIO za kontinuirano i nesmetano poslovanje. Držanje rezervi na Jedinstvenom računu je od strateškog značaja za fiskalni i privredni sistem BiH. Nedovoljne rezerve uzrokuju zastoje u privredi zbog blokiranja isplate povrata, lošu i nekonkurentnu sliku ekonomije, te povećanje rashoda zbog plaćanja kamata za svaki dan zakašnjenja isplate povrata i druge rashode koje je moguće izbjeći. S druge strane, prekomjerne rezerve takođe dovode do zadužvanja nižih nivoa uprave usljed deficita u prilivu sa Jedinstvenog računa. Iznos minimalne rezerve utvrđen je u skladu sa Pravilnikom o prikupljanju, sravnjenju, raspodjeli prihoda i izvještavanju</w:t>
      </w:r>
      <w:r w:rsidRPr="00314FA4">
        <w:rPr>
          <w:rFonts w:eastAsia="Verdana" w:cs="Verdana"/>
          <w:sz w:val="24"/>
          <w:szCs w:val="24"/>
          <w:vertAlign w:val="superscript"/>
        </w:rPr>
        <w:footnoteReference w:id="7"/>
      </w:r>
      <w:r w:rsidRPr="00314FA4">
        <w:rPr>
          <w:rFonts w:eastAsia="Verdana" w:cs="Verdana"/>
          <w:sz w:val="24"/>
          <w:szCs w:val="24"/>
        </w:rPr>
        <w:t xml:space="preserve">.  </w:t>
      </w:r>
    </w:p>
    <w:p w:rsidR="008C0668" w:rsidRPr="00314FA4" w:rsidRDefault="008C0668" w:rsidP="008C0668">
      <w:pPr>
        <w:spacing w:after="4" w:line="249" w:lineRule="auto"/>
        <w:ind w:left="1416" w:right="44" w:hanging="10"/>
        <w:jc w:val="both"/>
        <w:rPr>
          <w:rFonts w:ascii="Verdana" w:eastAsia="Verdana" w:hAnsi="Verdana" w:cs="Verdana"/>
          <w:sz w:val="19"/>
        </w:rPr>
      </w:pPr>
      <w:r w:rsidRPr="00314FA4">
        <w:rPr>
          <w:rFonts w:ascii="Verdana" w:eastAsia="Verdana" w:hAnsi="Verdana" w:cs="Verdana"/>
          <w:sz w:val="19"/>
        </w:rPr>
        <w:t>Grafikon 1. Sistem raspodjele indirektnih poreza u BiH</w:t>
      </w:r>
      <w:r w:rsidRPr="00314FA4">
        <w:rPr>
          <w:rFonts w:ascii="Verdana" w:eastAsia="Verdana" w:hAnsi="Verdana" w:cs="Verdana"/>
          <w:sz w:val="19"/>
          <w:vertAlign w:val="superscript"/>
        </w:rPr>
        <w:footnoteReference w:id="8"/>
      </w:r>
      <w:r w:rsidRPr="00314FA4">
        <w:rPr>
          <w:rFonts w:ascii="Verdana" w:eastAsia="Verdana" w:hAnsi="Verdana" w:cs="Verdana"/>
          <w:sz w:val="19"/>
        </w:rPr>
        <w:t xml:space="preserve"> </w:t>
      </w:r>
    </w:p>
    <w:p w:rsidR="008C0668" w:rsidRPr="00314FA4" w:rsidRDefault="008C0668" w:rsidP="008C0668">
      <w:pPr>
        <w:spacing w:after="4" w:line="249" w:lineRule="auto"/>
        <w:ind w:left="336" w:right="44" w:hanging="10"/>
        <w:jc w:val="both"/>
        <w:rPr>
          <w:rFonts w:ascii="Verdana" w:eastAsia="Verdana" w:hAnsi="Verdana" w:cs="Verdana"/>
          <w:sz w:val="19"/>
        </w:rPr>
      </w:pPr>
      <w:r w:rsidRPr="00314FA4">
        <w:rPr>
          <w:rFonts w:ascii="Verdana" w:eastAsia="Verdana" w:hAnsi="Verdana" w:cs="Verdana"/>
          <w:noProof/>
          <w:sz w:val="19"/>
        </w:rPr>
        <w:drawing>
          <wp:inline distT="0" distB="0" distL="0" distR="0" wp14:anchorId="26D0E2E4" wp14:editId="369D08B7">
            <wp:extent cx="5772913" cy="277368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80591" name="Picture 80591"/>
                    <pic:cNvPicPr/>
                  </pic:nvPicPr>
                  <pic:blipFill>
                    <a:blip r:embed="rId40"/>
                    <a:stretch>
                      <a:fillRect/>
                    </a:stretch>
                  </pic:blipFill>
                  <pic:spPr>
                    <a:xfrm>
                      <a:off x="0" y="0"/>
                      <a:ext cx="5772913" cy="2773680"/>
                    </a:xfrm>
                    <a:prstGeom prst="rect">
                      <a:avLst/>
                    </a:prstGeom>
                  </pic:spPr>
                </pic:pic>
              </a:graphicData>
            </a:graphic>
          </wp:inline>
        </w:drawing>
      </w:r>
      <w:r w:rsidRPr="00314FA4">
        <w:rPr>
          <w:rFonts w:ascii="Verdana" w:eastAsia="Verdana" w:hAnsi="Verdana" w:cs="Verdana"/>
          <w:sz w:val="19"/>
        </w:rPr>
        <w:t xml:space="preserve">PDV + carine + akcize + putarina 0,15 KM </w:t>
      </w:r>
    </w:p>
    <w:tbl>
      <w:tblPr>
        <w:tblStyle w:val="TableGrid"/>
        <w:tblW w:w="8665" w:type="dxa"/>
        <w:tblInd w:w="695" w:type="dxa"/>
        <w:tblLook w:val="04A0" w:firstRow="1" w:lastRow="0" w:firstColumn="1" w:lastColumn="0" w:noHBand="0" w:noVBand="1"/>
      </w:tblPr>
      <w:tblGrid>
        <w:gridCol w:w="4202"/>
        <w:gridCol w:w="4463"/>
      </w:tblGrid>
      <w:tr w:rsidR="00D87587" w:rsidRPr="00314FA4" w:rsidTr="004129C6">
        <w:trPr>
          <w:trHeight w:val="1304"/>
        </w:trPr>
        <w:tc>
          <w:tcPr>
            <w:tcW w:w="2140" w:type="dxa"/>
            <w:tcBorders>
              <w:top w:val="nil"/>
              <w:left w:val="nil"/>
              <w:bottom w:val="nil"/>
              <w:right w:val="nil"/>
            </w:tcBorders>
          </w:tcPr>
          <w:p w:rsidR="008C0668" w:rsidRPr="00314FA4" w:rsidRDefault="008C0668" w:rsidP="004129C6">
            <w:pPr>
              <w:spacing w:line="259" w:lineRule="auto"/>
              <w:ind w:left="-1792" w:right="620"/>
              <w:rPr>
                <w:rFonts w:ascii="Verdana" w:eastAsia="Verdana" w:hAnsi="Verdana" w:cs="Verdana"/>
                <w:sz w:val="19"/>
              </w:rPr>
            </w:pPr>
          </w:p>
          <w:tbl>
            <w:tblPr>
              <w:tblStyle w:val="TableGrid"/>
              <w:tblW w:w="8307" w:type="dxa"/>
              <w:tblInd w:w="0" w:type="dxa"/>
              <w:tblCellMar>
                <w:top w:w="45" w:type="dxa"/>
                <w:left w:w="138" w:type="dxa"/>
                <w:right w:w="66" w:type="dxa"/>
              </w:tblCellMar>
              <w:tblLook w:val="04A0" w:firstRow="1" w:lastRow="0" w:firstColumn="1" w:lastColumn="0" w:noHBand="0" w:noVBand="1"/>
            </w:tblPr>
            <w:tblGrid>
              <w:gridCol w:w="8307"/>
            </w:tblGrid>
            <w:tr w:rsidR="00D87587" w:rsidRPr="00314FA4" w:rsidTr="004129C6">
              <w:trPr>
                <w:trHeight w:val="166"/>
              </w:trPr>
              <w:tc>
                <w:tcPr>
                  <w:tcW w:w="8307" w:type="dxa"/>
                  <w:tcBorders>
                    <w:top w:val="single" w:sz="7" w:space="0" w:color="000000"/>
                    <w:left w:val="single" w:sz="7" w:space="0" w:color="000000"/>
                    <w:bottom w:val="single" w:sz="8" w:space="0" w:color="000000"/>
                    <w:right w:val="single" w:sz="8" w:space="0" w:color="000000"/>
                  </w:tcBorders>
                </w:tcPr>
                <w:p w:rsidR="008C0668" w:rsidRPr="00314FA4" w:rsidRDefault="008C0668" w:rsidP="004129C6">
                  <w:pPr>
                    <w:spacing w:line="259" w:lineRule="auto"/>
                    <w:ind w:right="71"/>
                    <w:rPr>
                      <w:rFonts w:ascii="Verdana" w:eastAsia="Verdana" w:hAnsi="Verdana" w:cs="Verdana"/>
                      <w:sz w:val="19"/>
                    </w:rPr>
                  </w:pPr>
                  <w:r w:rsidRPr="00314FA4">
                    <w:rPr>
                      <w:rFonts w:ascii="Verdana" w:eastAsia="Verdana" w:hAnsi="Verdana" w:cs="Verdana"/>
                      <w:sz w:val="19"/>
                    </w:rPr>
                    <w:t xml:space="preserve">Budžet FBiH 36,2 % </w:t>
                  </w:r>
                </w:p>
              </w:tc>
            </w:tr>
            <w:tr w:rsidR="00D87587" w:rsidRPr="00314FA4" w:rsidTr="004129C6">
              <w:trPr>
                <w:trHeight w:val="167"/>
              </w:trPr>
              <w:tc>
                <w:tcPr>
                  <w:tcW w:w="8307" w:type="dxa"/>
                  <w:tcBorders>
                    <w:top w:val="single" w:sz="8" w:space="0" w:color="000000"/>
                    <w:left w:val="single" w:sz="7" w:space="0" w:color="000000"/>
                    <w:bottom w:val="single" w:sz="8" w:space="0" w:color="000000"/>
                    <w:right w:val="single" w:sz="8" w:space="0" w:color="000000"/>
                  </w:tcBorders>
                </w:tcPr>
                <w:p w:rsidR="008C0668" w:rsidRPr="00314FA4" w:rsidRDefault="008C0668" w:rsidP="004129C6">
                  <w:pPr>
                    <w:spacing w:line="259" w:lineRule="auto"/>
                    <w:ind w:right="72"/>
                    <w:rPr>
                      <w:rFonts w:ascii="Verdana" w:eastAsia="Verdana" w:hAnsi="Verdana" w:cs="Verdana"/>
                      <w:sz w:val="19"/>
                    </w:rPr>
                  </w:pPr>
                  <w:r w:rsidRPr="00314FA4">
                    <w:rPr>
                      <w:rFonts w:ascii="Verdana" w:eastAsia="Verdana" w:hAnsi="Verdana" w:cs="Verdana"/>
                      <w:sz w:val="19"/>
                    </w:rPr>
                    <w:t xml:space="preserve">Kantoni (10) 51,48 % </w:t>
                  </w:r>
                </w:p>
              </w:tc>
            </w:tr>
            <w:tr w:rsidR="00D87587" w:rsidRPr="00314FA4" w:rsidTr="004129C6">
              <w:trPr>
                <w:trHeight w:val="166"/>
              </w:trPr>
              <w:tc>
                <w:tcPr>
                  <w:tcW w:w="8307" w:type="dxa"/>
                  <w:tcBorders>
                    <w:top w:val="single" w:sz="8" w:space="0" w:color="000000"/>
                    <w:left w:val="single" w:sz="7" w:space="0" w:color="000000"/>
                    <w:bottom w:val="single" w:sz="8" w:space="0" w:color="000000"/>
                    <w:right w:val="single" w:sz="8" w:space="0" w:color="000000"/>
                  </w:tcBorders>
                </w:tcPr>
                <w:p w:rsidR="008C0668" w:rsidRPr="00314FA4" w:rsidRDefault="008C0668" w:rsidP="004129C6">
                  <w:pPr>
                    <w:spacing w:line="259" w:lineRule="auto"/>
                    <w:ind w:right="70"/>
                    <w:rPr>
                      <w:rFonts w:ascii="Verdana" w:eastAsia="Verdana" w:hAnsi="Verdana" w:cs="Verdana"/>
                      <w:sz w:val="19"/>
                    </w:rPr>
                  </w:pPr>
                  <w:r w:rsidRPr="00314FA4">
                    <w:rPr>
                      <w:rFonts w:ascii="Verdana" w:eastAsia="Verdana" w:hAnsi="Verdana" w:cs="Verdana"/>
                      <w:sz w:val="19"/>
                    </w:rPr>
                    <w:t xml:space="preserve">JLS u FBiH (79) 8,42 % </w:t>
                  </w:r>
                </w:p>
              </w:tc>
            </w:tr>
            <w:tr w:rsidR="00D87587" w:rsidRPr="00314FA4" w:rsidTr="004129C6">
              <w:trPr>
                <w:trHeight w:val="169"/>
              </w:trPr>
              <w:tc>
                <w:tcPr>
                  <w:tcW w:w="8307" w:type="dxa"/>
                  <w:tcBorders>
                    <w:top w:val="single" w:sz="8" w:space="0" w:color="000000"/>
                    <w:left w:val="single" w:sz="7" w:space="0" w:color="000000"/>
                    <w:bottom w:val="single" w:sz="8" w:space="0" w:color="000000"/>
                    <w:right w:val="single" w:sz="8" w:space="0" w:color="000000"/>
                  </w:tcBorders>
                </w:tcPr>
                <w:p w:rsidR="008C0668" w:rsidRPr="00314FA4" w:rsidRDefault="008C0668" w:rsidP="004129C6">
                  <w:pPr>
                    <w:spacing w:line="259" w:lineRule="auto"/>
                    <w:rPr>
                      <w:rFonts w:ascii="Verdana" w:eastAsia="Verdana" w:hAnsi="Verdana" w:cs="Verdana"/>
                      <w:sz w:val="19"/>
                    </w:rPr>
                  </w:pPr>
                  <w:r w:rsidRPr="00314FA4">
                    <w:rPr>
                      <w:rFonts w:ascii="Verdana" w:eastAsia="Verdana" w:hAnsi="Verdana" w:cs="Verdana"/>
                      <w:sz w:val="19"/>
                    </w:rPr>
                    <w:t xml:space="preserve">Direkcija za ceste FBiH 3,9 % </w:t>
                  </w:r>
                </w:p>
              </w:tc>
            </w:tr>
          </w:tbl>
          <w:p w:rsidR="008C0668" w:rsidRPr="00314FA4" w:rsidRDefault="008C0668" w:rsidP="004129C6">
            <w:pPr>
              <w:spacing w:after="160" w:line="259" w:lineRule="auto"/>
              <w:rPr>
                <w:rFonts w:ascii="Verdana" w:eastAsia="Verdana" w:hAnsi="Verdana" w:cs="Verdana"/>
                <w:sz w:val="19"/>
              </w:rPr>
            </w:pPr>
          </w:p>
        </w:tc>
        <w:tc>
          <w:tcPr>
            <w:tcW w:w="6525" w:type="dxa"/>
            <w:tcBorders>
              <w:top w:val="nil"/>
              <w:left w:val="nil"/>
              <w:bottom w:val="nil"/>
              <w:right w:val="nil"/>
            </w:tcBorders>
          </w:tcPr>
          <w:tbl>
            <w:tblPr>
              <w:tblStyle w:val="TableGrid"/>
              <w:tblpPr w:leftFromText="180" w:rightFromText="180" w:vertAnchor="text" w:horzAnchor="margin" w:tblpXSpec="center" w:tblpY="-131"/>
              <w:tblOverlap w:val="never"/>
              <w:tblW w:w="2623" w:type="dxa"/>
              <w:tblInd w:w="0" w:type="dxa"/>
              <w:tblCellMar>
                <w:top w:w="45" w:type="dxa"/>
                <w:left w:w="115" w:type="dxa"/>
                <w:right w:w="115" w:type="dxa"/>
              </w:tblCellMar>
              <w:tblLook w:val="04A0" w:firstRow="1" w:lastRow="0" w:firstColumn="1" w:lastColumn="0" w:noHBand="0" w:noVBand="1"/>
            </w:tblPr>
            <w:tblGrid>
              <w:gridCol w:w="2623"/>
            </w:tblGrid>
            <w:tr w:rsidR="00D87587" w:rsidRPr="00314FA4" w:rsidTr="004129C6">
              <w:trPr>
                <w:trHeight w:val="325"/>
              </w:trPr>
              <w:tc>
                <w:tcPr>
                  <w:tcW w:w="2623" w:type="dxa"/>
                  <w:tcBorders>
                    <w:top w:val="single" w:sz="7" w:space="0" w:color="000000"/>
                    <w:left w:val="single" w:sz="8" w:space="0" w:color="000000"/>
                    <w:bottom w:val="single" w:sz="8" w:space="0" w:color="000000"/>
                    <w:right w:val="single" w:sz="8" w:space="0" w:color="000000"/>
                  </w:tcBorders>
                </w:tcPr>
                <w:p w:rsidR="004129C6" w:rsidRPr="00314FA4" w:rsidRDefault="004129C6" w:rsidP="004129C6">
                  <w:pPr>
                    <w:spacing w:line="259" w:lineRule="auto"/>
                    <w:ind w:right="3"/>
                    <w:jc w:val="center"/>
                    <w:rPr>
                      <w:rFonts w:ascii="Verdana" w:eastAsia="Verdana" w:hAnsi="Verdana" w:cs="Verdana"/>
                      <w:sz w:val="19"/>
                    </w:rPr>
                  </w:pPr>
                  <w:r w:rsidRPr="00314FA4">
                    <w:rPr>
                      <w:rFonts w:ascii="Verdana" w:eastAsia="Verdana" w:hAnsi="Verdana" w:cs="Verdana"/>
                      <w:sz w:val="19"/>
                    </w:rPr>
                    <w:t xml:space="preserve">Budžet RS 72 % </w:t>
                  </w:r>
                </w:p>
              </w:tc>
            </w:tr>
            <w:tr w:rsidR="00D87587" w:rsidRPr="00314FA4" w:rsidTr="004129C6">
              <w:trPr>
                <w:trHeight w:val="326"/>
              </w:trPr>
              <w:tc>
                <w:tcPr>
                  <w:tcW w:w="2623" w:type="dxa"/>
                  <w:tcBorders>
                    <w:top w:val="single" w:sz="8" w:space="0" w:color="000000"/>
                    <w:left w:val="single" w:sz="8" w:space="0" w:color="000000"/>
                    <w:bottom w:val="single" w:sz="8" w:space="0" w:color="000000"/>
                    <w:right w:val="single" w:sz="8" w:space="0" w:color="000000"/>
                  </w:tcBorders>
                </w:tcPr>
                <w:p w:rsidR="004129C6" w:rsidRPr="00314FA4" w:rsidRDefault="004129C6" w:rsidP="004129C6">
                  <w:pPr>
                    <w:spacing w:line="259" w:lineRule="auto"/>
                    <w:ind w:left="1"/>
                    <w:jc w:val="center"/>
                    <w:rPr>
                      <w:rFonts w:ascii="Verdana" w:eastAsia="Verdana" w:hAnsi="Verdana" w:cs="Verdana"/>
                      <w:sz w:val="19"/>
                    </w:rPr>
                  </w:pPr>
                  <w:r w:rsidRPr="00314FA4">
                    <w:rPr>
                      <w:rFonts w:ascii="Verdana" w:eastAsia="Verdana" w:hAnsi="Verdana" w:cs="Verdana"/>
                      <w:sz w:val="19"/>
                    </w:rPr>
                    <w:t xml:space="preserve">JLS u RS (64) 24% </w:t>
                  </w:r>
                </w:p>
              </w:tc>
            </w:tr>
            <w:tr w:rsidR="00D87587" w:rsidRPr="00314FA4" w:rsidTr="004129C6">
              <w:trPr>
                <w:trHeight w:val="324"/>
              </w:trPr>
              <w:tc>
                <w:tcPr>
                  <w:tcW w:w="2623" w:type="dxa"/>
                  <w:tcBorders>
                    <w:top w:val="single" w:sz="8" w:space="0" w:color="000000"/>
                    <w:left w:val="single" w:sz="8" w:space="0" w:color="000000"/>
                    <w:bottom w:val="single" w:sz="8" w:space="0" w:color="000000"/>
                    <w:right w:val="single" w:sz="8" w:space="0" w:color="000000"/>
                  </w:tcBorders>
                </w:tcPr>
                <w:p w:rsidR="004129C6" w:rsidRPr="00314FA4" w:rsidRDefault="004129C6" w:rsidP="004129C6">
                  <w:pPr>
                    <w:spacing w:line="259" w:lineRule="auto"/>
                    <w:ind w:right="3"/>
                    <w:jc w:val="center"/>
                    <w:rPr>
                      <w:rFonts w:ascii="Verdana" w:eastAsia="Verdana" w:hAnsi="Verdana" w:cs="Verdana"/>
                      <w:sz w:val="19"/>
                    </w:rPr>
                  </w:pPr>
                  <w:r w:rsidRPr="00314FA4">
                    <w:rPr>
                      <w:rFonts w:ascii="Verdana" w:eastAsia="Verdana" w:hAnsi="Verdana" w:cs="Verdana"/>
                      <w:sz w:val="19"/>
                    </w:rPr>
                    <w:t xml:space="preserve">JP Putevi RS 4% </w:t>
                  </w:r>
                </w:p>
              </w:tc>
            </w:tr>
          </w:tbl>
          <w:p w:rsidR="008C0668" w:rsidRPr="00314FA4" w:rsidRDefault="008C0668" w:rsidP="008C0668">
            <w:pPr>
              <w:spacing w:line="259" w:lineRule="auto"/>
              <w:ind w:left="-5586" w:right="8830"/>
              <w:rPr>
                <w:rFonts w:ascii="Verdana" w:eastAsia="Verdana" w:hAnsi="Verdana" w:cs="Verdana"/>
                <w:sz w:val="19"/>
              </w:rPr>
            </w:pPr>
          </w:p>
          <w:p w:rsidR="008C0668" w:rsidRPr="00314FA4" w:rsidRDefault="008C0668" w:rsidP="008C0668">
            <w:pPr>
              <w:spacing w:after="160" w:line="259" w:lineRule="auto"/>
              <w:rPr>
                <w:rFonts w:ascii="Verdana" w:eastAsia="Verdana" w:hAnsi="Verdana" w:cs="Verdana"/>
                <w:sz w:val="19"/>
              </w:rPr>
            </w:pPr>
          </w:p>
        </w:tc>
      </w:tr>
    </w:tbl>
    <w:p w:rsidR="008C0668" w:rsidRPr="00314FA4" w:rsidRDefault="008C0668" w:rsidP="008C0668">
      <w:pPr>
        <w:spacing w:after="0"/>
        <w:ind w:left="5"/>
        <w:rPr>
          <w:rFonts w:ascii="Verdana" w:eastAsia="Verdana" w:hAnsi="Verdana" w:cs="Verdana"/>
          <w:sz w:val="19"/>
        </w:rPr>
      </w:pPr>
      <w:r w:rsidRPr="00314FA4">
        <w:rPr>
          <w:rFonts w:ascii="Verdana" w:eastAsia="Verdana" w:hAnsi="Verdana" w:cs="Verdana"/>
          <w:sz w:val="19"/>
        </w:rPr>
        <w:t xml:space="preserve"> </w:t>
      </w:r>
    </w:p>
    <w:p w:rsidR="008C0668" w:rsidRPr="00314FA4" w:rsidRDefault="008C0668" w:rsidP="008C0668">
      <w:pPr>
        <w:spacing w:after="4" w:line="249" w:lineRule="auto"/>
        <w:ind w:right="44" w:hanging="10"/>
        <w:jc w:val="both"/>
        <w:rPr>
          <w:rFonts w:ascii="Verdana" w:eastAsia="Verdana" w:hAnsi="Verdana" w:cs="Verdana"/>
          <w:sz w:val="19"/>
        </w:rPr>
      </w:pPr>
      <w:r w:rsidRPr="00314FA4">
        <w:rPr>
          <w:rFonts w:ascii="Verdana" w:eastAsia="Verdana" w:hAnsi="Verdana" w:cs="Verdana"/>
          <w:sz w:val="19"/>
        </w:rPr>
        <w:t xml:space="preserve">Sljedeći korak u raspodjeli je doznačavanje pripadajućeg iznosa budžetu institucija BiH. Ovaj iznos izračunava se kao iznos budžeta istitucija BiH za tekuću godinu pomnožen sa koeficijentom koji se dobije kada se 1 podijeli sa brojem radnih dana UIO u tekućoj godini. Preostali iznos nakon </w:t>
      </w:r>
      <w:r w:rsidRPr="00314FA4">
        <w:rPr>
          <w:rFonts w:ascii="Verdana" w:eastAsia="Verdana" w:hAnsi="Verdana" w:cs="Verdana"/>
          <w:sz w:val="19"/>
        </w:rPr>
        <w:lastRenderedPageBreak/>
        <w:t xml:space="preserve">odbijanja rezervi i iznosa koji pripada budžetu institucija BiH predstavlja dio za raspodjelu entitetima. Iz ukupnog iznosa za raspodjelu entitetima odbija se vanjski dug s obzirom da je isti obaveza entiteta dok je dinamika plaćanja određena rasporedom Ministarstva financija i trezora BiH, a samu proceduru plaćanja vanjskog duga vrši Centralna banka BiH kao fiskalni agent. Preostali iznos za raspodjelu dostavlja se Federaciji BiH, Republici Srpskoj i Brčko Distriktu, a iznos se utvrđuje na osnovu njihovog učešća u krajnjoj potrošnji prikazanog u prijavama PDV-a, dok se koeficijent raspodjele računa stavljajući krajnju potrošnju entiteta i Brčko Distrikta u odnos sa krajnjom potrošnjom na nivou BiH. </w:t>
      </w:r>
    </w:p>
    <w:p w:rsidR="00655E04" w:rsidRPr="00314FA4" w:rsidRDefault="00655E04" w:rsidP="008C0668">
      <w:pPr>
        <w:spacing w:after="4" w:line="249" w:lineRule="auto"/>
        <w:ind w:right="44" w:hanging="10"/>
        <w:jc w:val="both"/>
        <w:rPr>
          <w:rFonts w:ascii="Verdana" w:eastAsia="Verdana" w:hAnsi="Verdana" w:cs="Verdana"/>
          <w:sz w:val="19"/>
        </w:rPr>
      </w:pPr>
    </w:p>
    <w:p w:rsidR="00655E04" w:rsidRPr="00314FA4" w:rsidRDefault="00655E04" w:rsidP="008C0668">
      <w:pPr>
        <w:spacing w:after="4" w:line="249" w:lineRule="auto"/>
        <w:ind w:right="44" w:hanging="10"/>
        <w:jc w:val="both"/>
        <w:rPr>
          <w:rFonts w:ascii="Verdana" w:eastAsia="Verdana" w:hAnsi="Verdana" w:cs="Verdana"/>
          <w:sz w:val="19"/>
        </w:rPr>
      </w:pPr>
    </w:p>
    <w:p w:rsidR="008C0668" w:rsidRPr="00314FA4" w:rsidRDefault="008C0668" w:rsidP="008C0668">
      <w:pPr>
        <w:spacing w:after="0"/>
        <w:ind w:left="677" w:hanging="10"/>
        <w:rPr>
          <w:rFonts w:ascii="Verdana" w:eastAsia="Verdana" w:hAnsi="Verdana" w:cs="Verdana"/>
          <w:sz w:val="19"/>
        </w:rPr>
      </w:pPr>
      <w:r w:rsidRPr="00314FA4">
        <w:rPr>
          <w:rFonts w:ascii="Verdana" w:eastAsia="Verdana" w:hAnsi="Verdana" w:cs="Verdana"/>
          <w:sz w:val="19"/>
        </w:rPr>
        <w:t xml:space="preserve">Raspodjela prihoda od indirektnih poreza u Federaciji BiH </w:t>
      </w:r>
    </w:p>
    <w:p w:rsidR="008C0668" w:rsidRPr="00314FA4" w:rsidRDefault="008C0668" w:rsidP="008C0668">
      <w:pPr>
        <w:spacing w:after="0"/>
        <w:ind w:left="5"/>
        <w:rPr>
          <w:rFonts w:ascii="Verdana" w:eastAsia="Verdana" w:hAnsi="Verdana" w:cs="Verdana"/>
          <w:sz w:val="19"/>
        </w:rPr>
      </w:pPr>
      <w:r w:rsidRPr="00314FA4">
        <w:rPr>
          <w:rFonts w:ascii="Verdana" w:eastAsia="Verdana" w:hAnsi="Verdana" w:cs="Verdana"/>
          <w:sz w:val="19"/>
        </w:rPr>
        <w:t xml:space="preserve"> </w:t>
      </w:r>
    </w:p>
    <w:p w:rsidR="008C0668" w:rsidRPr="00314FA4" w:rsidRDefault="008C0668" w:rsidP="008C0668">
      <w:pPr>
        <w:spacing w:after="4" w:line="249" w:lineRule="auto"/>
        <w:ind w:right="44" w:hanging="10"/>
        <w:jc w:val="both"/>
        <w:rPr>
          <w:rFonts w:ascii="Verdana" w:eastAsia="Verdana" w:hAnsi="Verdana" w:cs="Verdana"/>
          <w:sz w:val="19"/>
        </w:rPr>
      </w:pPr>
      <w:r w:rsidRPr="00314FA4">
        <w:rPr>
          <w:rFonts w:ascii="Verdana" w:eastAsia="Verdana" w:hAnsi="Verdana" w:cs="Verdana"/>
          <w:sz w:val="19"/>
        </w:rPr>
        <w:t>Raspodjela prihoda od indirektnih poreza uplaćenih u budžet Federacije BiH sa Jedinstvenog računa definirana je Zakonom o pripadnosti javnih prihoda u Federaciji BiH</w:t>
      </w:r>
      <w:r w:rsidRPr="00314FA4">
        <w:rPr>
          <w:rFonts w:ascii="Verdana" w:eastAsia="Verdana" w:hAnsi="Verdana" w:cs="Verdana"/>
          <w:sz w:val="19"/>
          <w:vertAlign w:val="superscript"/>
        </w:rPr>
        <w:footnoteReference w:id="9"/>
      </w:r>
      <w:r w:rsidRPr="00314FA4">
        <w:rPr>
          <w:rFonts w:ascii="Verdana" w:eastAsia="Verdana" w:hAnsi="Verdana" w:cs="Verdana"/>
          <w:sz w:val="19"/>
        </w:rPr>
        <w:t xml:space="preserve">, prema kome se indirektni porezi nakon izdvajanja dijela sredstava za financiranje vanjskog duga Federacije BiH dijele na sljedeći način:   </w:t>
      </w:r>
    </w:p>
    <w:p w:rsidR="008C0668" w:rsidRPr="00314FA4" w:rsidRDefault="008C0668" w:rsidP="008C0668">
      <w:pPr>
        <w:spacing w:after="4" w:line="249" w:lineRule="auto"/>
        <w:ind w:left="365" w:right="6228" w:hanging="10"/>
        <w:jc w:val="both"/>
        <w:rPr>
          <w:rFonts w:ascii="Verdana" w:eastAsia="Verdana" w:hAnsi="Verdana" w:cs="Verdana"/>
          <w:sz w:val="19"/>
        </w:rPr>
      </w:pPr>
      <w:r w:rsidRPr="00314FA4">
        <w:rPr>
          <w:rFonts w:ascii="Verdana" w:eastAsia="Verdana" w:hAnsi="Verdana" w:cs="Verdana"/>
          <w:sz w:val="19"/>
        </w:rPr>
        <w:t>i)</w:t>
      </w:r>
      <w:r w:rsidRPr="00314FA4">
        <w:rPr>
          <w:rFonts w:ascii="Arial" w:eastAsia="Arial" w:hAnsi="Arial" w:cs="Arial"/>
          <w:sz w:val="19"/>
        </w:rPr>
        <w:t xml:space="preserve"> </w:t>
      </w:r>
      <w:r w:rsidRPr="00314FA4">
        <w:rPr>
          <w:rFonts w:ascii="Verdana" w:eastAsia="Verdana" w:hAnsi="Verdana" w:cs="Verdana"/>
          <w:sz w:val="19"/>
        </w:rPr>
        <w:t>budžet Federacije 36,2</w:t>
      </w:r>
      <w:proofErr w:type="gramStart"/>
      <w:r w:rsidRPr="00314FA4">
        <w:rPr>
          <w:rFonts w:ascii="Verdana" w:eastAsia="Verdana" w:hAnsi="Verdana" w:cs="Verdana"/>
          <w:sz w:val="19"/>
        </w:rPr>
        <w:t>%,  ii</w:t>
      </w:r>
      <w:proofErr w:type="gramEnd"/>
      <w:r w:rsidRPr="00314FA4">
        <w:rPr>
          <w:rFonts w:ascii="Verdana" w:eastAsia="Verdana" w:hAnsi="Verdana" w:cs="Verdana"/>
          <w:sz w:val="19"/>
        </w:rPr>
        <w:t>)</w:t>
      </w:r>
      <w:r w:rsidRPr="00314FA4">
        <w:rPr>
          <w:rFonts w:ascii="Arial" w:eastAsia="Arial" w:hAnsi="Arial" w:cs="Arial"/>
          <w:sz w:val="19"/>
        </w:rPr>
        <w:t xml:space="preserve"> </w:t>
      </w:r>
      <w:r w:rsidRPr="00314FA4">
        <w:rPr>
          <w:rFonts w:ascii="Verdana" w:eastAsia="Verdana" w:hAnsi="Verdana" w:cs="Verdana"/>
          <w:sz w:val="19"/>
        </w:rPr>
        <w:t xml:space="preserve">budžeti kantona 51,48%, </w:t>
      </w:r>
    </w:p>
    <w:p w:rsidR="008C0668" w:rsidRPr="00314FA4" w:rsidRDefault="008C0668" w:rsidP="008C0668">
      <w:pPr>
        <w:spacing w:after="4" w:line="249" w:lineRule="auto"/>
        <w:ind w:left="365" w:right="4467" w:hanging="10"/>
        <w:jc w:val="both"/>
        <w:rPr>
          <w:rFonts w:ascii="Verdana" w:eastAsia="Verdana" w:hAnsi="Verdana" w:cs="Verdana"/>
          <w:sz w:val="19"/>
        </w:rPr>
      </w:pPr>
      <w:r w:rsidRPr="00314FA4">
        <w:rPr>
          <w:rFonts w:ascii="Verdana" w:eastAsia="Verdana" w:hAnsi="Verdana" w:cs="Verdana"/>
          <w:sz w:val="19"/>
        </w:rPr>
        <w:t>iii)</w:t>
      </w:r>
      <w:r w:rsidRPr="00314FA4">
        <w:rPr>
          <w:rFonts w:ascii="Arial" w:eastAsia="Arial" w:hAnsi="Arial" w:cs="Arial"/>
          <w:sz w:val="19"/>
        </w:rPr>
        <w:t xml:space="preserve"> </w:t>
      </w:r>
      <w:r w:rsidRPr="00314FA4">
        <w:rPr>
          <w:rFonts w:ascii="Verdana" w:eastAsia="Verdana" w:hAnsi="Verdana" w:cs="Verdana"/>
          <w:sz w:val="19"/>
        </w:rPr>
        <w:t>budžeti jedinica lokalne samouprave 8,42% iv)</w:t>
      </w:r>
      <w:r w:rsidRPr="00314FA4">
        <w:rPr>
          <w:rFonts w:ascii="Arial" w:eastAsia="Arial" w:hAnsi="Arial" w:cs="Arial"/>
          <w:sz w:val="19"/>
        </w:rPr>
        <w:t xml:space="preserve"> </w:t>
      </w:r>
      <w:r w:rsidRPr="00314FA4">
        <w:rPr>
          <w:rFonts w:ascii="Verdana" w:eastAsia="Verdana" w:hAnsi="Verdana" w:cs="Verdana"/>
          <w:sz w:val="19"/>
        </w:rPr>
        <w:t xml:space="preserve">“Direkcija za ceste Federacije BiH” 3,9% </w:t>
      </w:r>
    </w:p>
    <w:p w:rsidR="008C0668" w:rsidRPr="00314FA4" w:rsidRDefault="008C0668" w:rsidP="00E45DB5">
      <w:pPr>
        <w:spacing w:after="0"/>
        <w:ind w:left="5"/>
        <w:rPr>
          <w:rFonts w:ascii="Verdana" w:eastAsia="Verdana" w:hAnsi="Verdana" w:cs="Verdana"/>
          <w:sz w:val="19"/>
        </w:rPr>
      </w:pPr>
      <w:r w:rsidRPr="00314FA4">
        <w:rPr>
          <w:rFonts w:ascii="Verdana" w:eastAsia="Verdana" w:hAnsi="Verdana" w:cs="Verdana"/>
          <w:sz w:val="19"/>
        </w:rPr>
        <w:t xml:space="preserve">Ukoliko dublje analiziramo raspodjelu prihoda od indirektnih poreza važno je naglasiti da se pojedinačno učešće u raspodjeli kantona u Federaciji BiH vrši u skladu sa formulom koja se zasniva na sljedećim kriterijima: </w:t>
      </w:r>
    </w:p>
    <w:p w:rsidR="008C0668" w:rsidRPr="00314FA4" w:rsidRDefault="008C0668" w:rsidP="008C0668">
      <w:pPr>
        <w:spacing w:after="0" w:line="241" w:lineRule="auto"/>
        <w:ind w:left="365" w:right="3493" w:hanging="10"/>
        <w:rPr>
          <w:rFonts w:ascii="Verdana" w:eastAsia="Verdana" w:hAnsi="Verdana" w:cs="Verdana"/>
          <w:sz w:val="19"/>
        </w:rPr>
      </w:pPr>
      <w:r w:rsidRPr="00314FA4">
        <w:rPr>
          <w:rFonts w:ascii="Calibri" w:eastAsia="Calibri" w:hAnsi="Calibri" w:cs="Calibri"/>
          <w:sz w:val="21"/>
        </w:rPr>
        <w:t>i)</w:t>
      </w:r>
      <w:r w:rsidRPr="00314FA4">
        <w:rPr>
          <w:rFonts w:ascii="Arial" w:eastAsia="Arial" w:hAnsi="Arial" w:cs="Arial"/>
          <w:sz w:val="21"/>
        </w:rPr>
        <w:t xml:space="preserve"> </w:t>
      </w:r>
      <w:r w:rsidRPr="00314FA4">
        <w:rPr>
          <w:rFonts w:ascii="Verdana" w:eastAsia="Verdana" w:hAnsi="Verdana" w:cs="Verdana"/>
          <w:sz w:val="19"/>
        </w:rPr>
        <w:t xml:space="preserve">57% na osnovu broja stanovnika kantona </w:t>
      </w:r>
      <w:r w:rsidRPr="00314FA4">
        <w:rPr>
          <w:rFonts w:ascii="Calibri" w:eastAsia="Calibri" w:hAnsi="Calibri" w:cs="Calibri"/>
          <w:sz w:val="21"/>
        </w:rPr>
        <w:t>ii)</w:t>
      </w:r>
      <w:r w:rsidRPr="00314FA4">
        <w:rPr>
          <w:rFonts w:ascii="Arial" w:eastAsia="Arial" w:hAnsi="Arial" w:cs="Arial"/>
          <w:sz w:val="21"/>
        </w:rPr>
        <w:t xml:space="preserve"> </w:t>
      </w:r>
      <w:r w:rsidRPr="00314FA4">
        <w:rPr>
          <w:rFonts w:ascii="Verdana" w:eastAsia="Verdana" w:hAnsi="Verdana" w:cs="Verdana"/>
          <w:sz w:val="19"/>
        </w:rPr>
        <w:t xml:space="preserve">6% na osnovu površine kantona </w:t>
      </w:r>
      <w:r w:rsidRPr="00314FA4">
        <w:rPr>
          <w:rFonts w:ascii="Calibri" w:eastAsia="Calibri" w:hAnsi="Calibri" w:cs="Calibri"/>
          <w:sz w:val="21"/>
        </w:rPr>
        <w:t>iii)</w:t>
      </w:r>
      <w:r w:rsidRPr="00314FA4">
        <w:rPr>
          <w:rFonts w:ascii="Arial" w:eastAsia="Arial" w:hAnsi="Arial" w:cs="Arial"/>
          <w:sz w:val="21"/>
        </w:rPr>
        <w:t xml:space="preserve"> </w:t>
      </w:r>
      <w:r w:rsidRPr="00314FA4">
        <w:rPr>
          <w:rFonts w:ascii="Verdana" w:eastAsia="Verdana" w:hAnsi="Verdana" w:cs="Verdana"/>
          <w:sz w:val="19"/>
        </w:rPr>
        <w:t xml:space="preserve">24% na osnovu broja učenika u osnovnom obrazovanju i </w:t>
      </w:r>
      <w:r w:rsidRPr="00314FA4">
        <w:rPr>
          <w:rFonts w:ascii="Calibri" w:eastAsia="Calibri" w:hAnsi="Calibri" w:cs="Calibri"/>
          <w:sz w:val="21"/>
        </w:rPr>
        <w:t>iv)</w:t>
      </w:r>
      <w:r w:rsidRPr="00314FA4">
        <w:rPr>
          <w:rFonts w:ascii="Arial" w:eastAsia="Arial" w:hAnsi="Arial" w:cs="Arial"/>
          <w:sz w:val="21"/>
        </w:rPr>
        <w:t xml:space="preserve"> </w:t>
      </w:r>
      <w:r w:rsidRPr="00314FA4">
        <w:rPr>
          <w:rFonts w:ascii="Verdana" w:eastAsia="Verdana" w:hAnsi="Verdana" w:cs="Verdana"/>
          <w:sz w:val="19"/>
        </w:rPr>
        <w:t>13% na osnovu broja učenika u srednjem obrazovanju</w:t>
      </w:r>
      <w:r w:rsidRPr="00314FA4">
        <w:rPr>
          <w:rFonts w:ascii="Verdana" w:eastAsia="Verdana" w:hAnsi="Verdana" w:cs="Verdana"/>
          <w:sz w:val="19"/>
          <w:vertAlign w:val="superscript"/>
        </w:rPr>
        <w:footnoteReference w:id="10"/>
      </w:r>
      <w:r w:rsidRPr="00314FA4">
        <w:rPr>
          <w:rFonts w:ascii="Verdana" w:eastAsia="Verdana" w:hAnsi="Verdana" w:cs="Verdana"/>
          <w:sz w:val="19"/>
        </w:rPr>
        <w:t xml:space="preserve">. </w:t>
      </w:r>
    </w:p>
    <w:p w:rsidR="008C0668" w:rsidRPr="00314FA4" w:rsidRDefault="008C0668" w:rsidP="008C0668">
      <w:pPr>
        <w:spacing w:after="0"/>
        <w:ind w:left="5"/>
        <w:rPr>
          <w:rFonts w:ascii="Verdana" w:eastAsia="Verdana" w:hAnsi="Verdana" w:cs="Verdana"/>
          <w:sz w:val="19"/>
        </w:rPr>
      </w:pPr>
      <w:r w:rsidRPr="00314FA4">
        <w:rPr>
          <w:rFonts w:ascii="Verdana" w:eastAsia="Verdana" w:hAnsi="Verdana" w:cs="Verdana"/>
          <w:sz w:val="19"/>
        </w:rPr>
        <w:t xml:space="preserve"> </w:t>
      </w:r>
    </w:p>
    <w:p w:rsidR="008C0668" w:rsidRPr="00314FA4" w:rsidRDefault="008C0668" w:rsidP="008C0668">
      <w:pPr>
        <w:spacing w:after="4" w:line="249" w:lineRule="auto"/>
        <w:ind w:right="44" w:hanging="10"/>
        <w:jc w:val="both"/>
        <w:rPr>
          <w:rFonts w:ascii="Verdana" w:eastAsia="Verdana" w:hAnsi="Verdana" w:cs="Verdana"/>
          <w:sz w:val="19"/>
        </w:rPr>
      </w:pPr>
      <w:r w:rsidRPr="00314FA4">
        <w:rPr>
          <w:rFonts w:ascii="Verdana" w:eastAsia="Verdana" w:hAnsi="Verdana" w:cs="Verdana"/>
          <w:sz w:val="19"/>
        </w:rPr>
        <w:t xml:space="preserve">Dalje, pojedinačno učešće jedinica lokalnih samouprava (JLS) u Federaciji BiH u raspodjeli prihoda sa Jedinstvenog računa zasniva se na sljedećem: </w:t>
      </w:r>
    </w:p>
    <w:p w:rsidR="008C0668" w:rsidRPr="00314FA4" w:rsidRDefault="008C0668" w:rsidP="008C0668">
      <w:pPr>
        <w:spacing w:after="4" w:line="249" w:lineRule="auto"/>
        <w:ind w:left="363" w:right="4950" w:hanging="10"/>
        <w:jc w:val="both"/>
        <w:rPr>
          <w:rFonts w:ascii="Verdana" w:eastAsia="Verdana" w:hAnsi="Verdana" w:cs="Verdana"/>
          <w:sz w:val="19"/>
        </w:rPr>
      </w:pPr>
      <w:r w:rsidRPr="00314FA4">
        <w:rPr>
          <w:rFonts w:ascii="Calibri" w:eastAsia="Calibri" w:hAnsi="Calibri" w:cs="Calibri"/>
          <w:sz w:val="19"/>
        </w:rPr>
        <w:t>i)</w:t>
      </w:r>
      <w:r w:rsidRPr="00314FA4">
        <w:rPr>
          <w:rFonts w:ascii="Arial" w:eastAsia="Arial" w:hAnsi="Arial" w:cs="Arial"/>
          <w:sz w:val="19"/>
        </w:rPr>
        <w:t xml:space="preserve"> </w:t>
      </w:r>
      <w:r w:rsidRPr="00314FA4">
        <w:rPr>
          <w:rFonts w:ascii="Verdana" w:eastAsia="Verdana" w:hAnsi="Verdana" w:cs="Verdana"/>
          <w:sz w:val="19"/>
        </w:rPr>
        <w:t xml:space="preserve">68% na osnovu broja stanovnika u JLS; </w:t>
      </w:r>
      <w:r w:rsidRPr="00314FA4">
        <w:rPr>
          <w:rFonts w:ascii="Calibri" w:eastAsia="Calibri" w:hAnsi="Calibri" w:cs="Calibri"/>
          <w:sz w:val="19"/>
        </w:rPr>
        <w:t>ii)</w:t>
      </w:r>
      <w:r w:rsidRPr="00314FA4">
        <w:rPr>
          <w:rFonts w:ascii="Arial" w:eastAsia="Arial" w:hAnsi="Arial" w:cs="Arial"/>
          <w:sz w:val="19"/>
        </w:rPr>
        <w:t xml:space="preserve"> </w:t>
      </w:r>
      <w:r w:rsidRPr="00314FA4">
        <w:rPr>
          <w:rFonts w:ascii="Verdana" w:eastAsia="Verdana" w:hAnsi="Verdana" w:cs="Verdana"/>
          <w:sz w:val="19"/>
        </w:rPr>
        <w:t xml:space="preserve">5% na osnovu površine JLS;  </w:t>
      </w:r>
    </w:p>
    <w:p w:rsidR="008C0668" w:rsidRPr="00314FA4" w:rsidRDefault="008C0668" w:rsidP="008C0668">
      <w:pPr>
        <w:spacing w:after="4" w:line="249" w:lineRule="auto"/>
        <w:ind w:left="363" w:right="1795" w:hanging="10"/>
        <w:jc w:val="both"/>
        <w:rPr>
          <w:rFonts w:ascii="Verdana" w:eastAsia="Verdana" w:hAnsi="Verdana" w:cs="Verdana"/>
          <w:sz w:val="19"/>
        </w:rPr>
      </w:pPr>
      <w:r w:rsidRPr="00314FA4">
        <w:rPr>
          <w:rFonts w:ascii="Calibri" w:eastAsia="Calibri" w:hAnsi="Calibri" w:cs="Calibri"/>
          <w:sz w:val="19"/>
        </w:rPr>
        <w:t>iii)</w:t>
      </w:r>
      <w:r w:rsidRPr="00314FA4">
        <w:rPr>
          <w:rFonts w:ascii="Arial" w:eastAsia="Arial" w:hAnsi="Arial" w:cs="Arial"/>
          <w:sz w:val="19"/>
        </w:rPr>
        <w:t xml:space="preserve"> </w:t>
      </w:r>
      <w:r w:rsidRPr="00314FA4">
        <w:rPr>
          <w:rFonts w:ascii="Verdana" w:eastAsia="Verdana" w:hAnsi="Verdana" w:cs="Verdana"/>
          <w:sz w:val="19"/>
        </w:rPr>
        <w:t xml:space="preserve">20% na osnovu broja učenika u osnovnom </w:t>
      </w:r>
      <w:proofErr w:type="gramStart"/>
      <w:r w:rsidRPr="00314FA4">
        <w:rPr>
          <w:rFonts w:ascii="Verdana" w:eastAsia="Verdana" w:hAnsi="Verdana" w:cs="Verdana"/>
          <w:sz w:val="19"/>
        </w:rPr>
        <w:t xml:space="preserve">obrazovanju;  </w:t>
      </w:r>
      <w:r w:rsidRPr="00314FA4">
        <w:rPr>
          <w:rFonts w:ascii="Calibri" w:eastAsia="Calibri" w:hAnsi="Calibri" w:cs="Calibri"/>
          <w:sz w:val="19"/>
        </w:rPr>
        <w:t>iv</w:t>
      </w:r>
      <w:proofErr w:type="gramEnd"/>
      <w:r w:rsidRPr="00314FA4">
        <w:rPr>
          <w:rFonts w:ascii="Calibri" w:eastAsia="Calibri" w:hAnsi="Calibri" w:cs="Calibri"/>
          <w:sz w:val="19"/>
        </w:rPr>
        <w:t>)</w:t>
      </w:r>
      <w:r w:rsidRPr="00314FA4">
        <w:rPr>
          <w:rFonts w:ascii="Arial" w:eastAsia="Arial" w:hAnsi="Arial" w:cs="Arial"/>
          <w:sz w:val="19"/>
        </w:rPr>
        <w:t xml:space="preserve"> </w:t>
      </w:r>
      <w:r w:rsidRPr="00314FA4">
        <w:rPr>
          <w:rFonts w:ascii="Verdana" w:eastAsia="Verdana" w:hAnsi="Verdana" w:cs="Verdana"/>
          <w:sz w:val="19"/>
        </w:rPr>
        <w:t xml:space="preserve">7% na osnovu nivoa razvijenosti JLS, definiranog kroz indeks razvijenosti. </w:t>
      </w:r>
    </w:p>
    <w:p w:rsidR="00A4329C" w:rsidRPr="00314FA4" w:rsidRDefault="00A4329C" w:rsidP="00A4329C">
      <w:pPr>
        <w:spacing w:before="112" w:after="31"/>
        <w:ind w:right="204"/>
        <w:jc w:val="right"/>
        <w:rPr>
          <w:b/>
          <w:i/>
          <w:sz w:val="12"/>
        </w:rPr>
      </w:pPr>
      <w:r w:rsidRPr="00314FA4">
        <w:rPr>
          <w:b/>
          <w:i/>
          <w:w w:val="105"/>
          <w:sz w:val="12"/>
        </w:rPr>
        <w:t>u KM</w:t>
      </w:r>
    </w:p>
    <w:tbl>
      <w:tblPr>
        <w:tblW w:w="9160" w:type="dxa"/>
        <w:tblInd w:w="14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891"/>
        <w:gridCol w:w="1329"/>
        <w:gridCol w:w="1329"/>
        <w:gridCol w:w="1170"/>
        <w:gridCol w:w="1441"/>
      </w:tblGrid>
      <w:tr w:rsidR="00CB7BE2" w:rsidRPr="00314FA4" w:rsidTr="00655E04">
        <w:trPr>
          <w:trHeight w:val="389"/>
        </w:trPr>
        <w:tc>
          <w:tcPr>
            <w:tcW w:w="3891" w:type="dxa"/>
            <w:vMerge w:val="restart"/>
            <w:tcBorders>
              <w:bottom w:val="single" w:sz="6" w:space="0" w:color="000000"/>
            </w:tcBorders>
          </w:tcPr>
          <w:p w:rsidR="00C10F27" w:rsidRPr="00314FA4" w:rsidRDefault="00C10F27" w:rsidP="00E01209">
            <w:pPr>
              <w:pStyle w:val="TableParagraph"/>
              <w:spacing w:before="26" w:line="142" w:lineRule="exact"/>
              <w:ind w:left="165"/>
              <w:jc w:val="center"/>
              <w:rPr>
                <w:sz w:val="14"/>
              </w:rPr>
            </w:pPr>
            <w:r w:rsidRPr="00314FA4">
              <w:rPr>
                <w:sz w:val="14"/>
              </w:rPr>
              <w:t>VRSTA PRIHODA</w:t>
            </w:r>
          </w:p>
        </w:tc>
        <w:tc>
          <w:tcPr>
            <w:tcW w:w="5269" w:type="dxa"/>
            <w:gridSpan w:val="4"/>
            <w:tcBorders>
              <w:bottom w:val="single" w:sz="6" w:space="0" w:color="000000"/>
            </w:tcBorders>
            <w:shd w:val="clear" w:color="auto" w:fill="FFC000"/>
          </w:tcPr>
          <w:p w:rsidR="00C10F27" w:rsidRPr="00314FA4" w:rsidRDefault="00C10F27" w:rsidP="00E01209">
            <w:pPr>
              <w:pStyle w:val="TableParagraph"/>
              <w:spacing w:before="26" w:line="142" w:lineRule="exact"/>
              <w:ind w:left="165"/>
              <w:jc w:val="center"/>
              <w:rPr>
                <w:sz w:val="14"/>
              </w:rPr>
            </w:pPr>
            <w:r w:rsidRPr="00314FA4">
              <w:rPr>
                <w:sz w:val="14"/>
              </w:rPr>
              <w:t>PROJEKCIJA</w:t>
            </w:r>
          </w:p>
        </w:tc>
      </w:tr>
      <w:tr w:rsidR="00196CB6" w:rsidRPr="00314FA4" w:rsidTr="00BD219B">
        <w:trPr>
          <w:trHeight w:val="284"/>
        </w:trPr>
        <w:tc>
          <w:tcPr>
            <w:tcW w:w="3891" w:type="dxa"/>
            <w:vMerge/>
            <w:tcBorders>
              <w:top w:val="nil"/>
              <w:bottom w:val="single" w:sz="6" w:space="0" w:color="000000"/>
            </w:tcBorders>
          </w:tcPr>
          <w:p w:rsidR="00C10F27" w:rsidRPr="00314FA4" w:rsidRDefault="00C10F27" w:rsidP="00E01209">
            <w:pPr>
              <w:jc w:val="center"/>
              <w:rPr>
                <w:sz w:val="2"/>
                <w:szCs w:val="2"/>
              </w:rPr>
            </w:pPr>
          </w:p>
        </w:tc>
        <w:tc>
          <w:tcPr>
            <w:tcW w:w="1329" w:type="dxa"/>
            <w:tcBorders>
              <w:top w:val="single" w:sz="6" w:space="0" w:color="000000"/>
              <w:bottom w:val="single" w:sz="6" w:space="0" w:color="000000"/>
              <w:right w:val="single" w:sz="6" w:space="0" w:color="000000"/>
            </w:tcBorders>
          </w:tcPr>
          <w:p w:rsidR="00C10F27" w:rsidRPr="00314FA4" w:rsidRDefault="00655E04" w:rsidP="00E01209">
            <w:pPr>
              <w:pStyle w:val="TableParagraph"/>
              <w:spacing w:before="26" w:line="142" w:lineRule="exact"/>
              <w:ind w:left="165"/>
              <w:jc w:val="center"/>
              <w:rPr>
                <w:sz w:val="14"/>
              </w:rPr>
            </w:pPr>
            <w:r w:rsidRPr="00314FA4">
              <w:rPr>
                <w:sz w:val="14"/>
              </w:rPr>
              <w:t>2022</w:t>
            </w:r>
          </w:p>
        </w:tc>
        <w:tc>
          <w:tcPr>
            <w:tcW w:w="1329" w:type="dxa"/>
            <w:tcBorders>
              <w:top w:val="single" w:sz="6" w:space="0" w:color="000000"/>
              <w:left w:val="single" w:sz="6" w:space="0" w:color="000000"/>
              <w:bottom w:val="single" w:sz="6" w:space="0" w:color="000000"/>
              <w:right w:val="single" w:sz="6" w:space="0" w:color="000000"/>
            </w:tcBorders>
          </w:tcPr>
          <w:p w:rsidR="00C10F27" w:rsidRPr="00314FA4" w:rsidRDefault="00655E04" w:rsidP="00E01209">
            <w:pPr>
              <w:pStyle w:val="TableParagraph"/>
              <w:spacing w:before="26" w:line="142" w:lineRule="exact"/>
              <w:ind w:left="165"/>
              <w:jc w:val="center"/>
              <w:rPr>
                <w:sz w:val="14"/>
              </w:rPr>
            </w:pPr>
            <w:r w:rsidRPr="00314FA4">
              <w:rPr>
                <w:sz w:val="14"/>
              </w:rPr>
              <w:t>2023</w:t>
            </w:r>
          </w:p>
        </w:tc>
        <w:tc>
          <w:tcPr>
            <w:tcW w:w="1170" w:type="dxa"/>
            <w:tcBorders>
              <w:top w:val="single" w:sz="6" w:space="0" w:color="000000"/>
              <w:left w:val="single" w:sz="6" w:space="0" w:color="000000"/>
              <w:bottom w:val="single" w:sz="6" w:space="0" w:color="000000"/>
              <w:right w:val="single" w:sz="6" w:space="0" w:color="000000"/>
            </w:tcBorders>
          </w:tcPr>
          <w:p w:rsidR="00C10F27" w:rsidRPr="00314FA4" w:rsidRDefault="00655E04" w:rsidP="00E01209">
            <w:pPr>
              <w:pStyle w:val="TableParagraph"/>
              <w:spacing w:before="26" w:line="142" w:lineRule="exact"/>
              <w:ind w:left="165"/>
              <w:jc w:val="center"/>
              <w:rPr>
                <w:sz w:val="14"/>
              </w:rPr>
            </w:pPr>
            <w:r w:rsidRPr="00314FA4">
              <w:rPr>
                <w:sz w:val="14"/>
              </w:rPr>
              <w:t>2024</w:t>
            </w:r>
          </w:p>
        </w:tc>
        <w:tc>
          <w:tcPr>
            <w:tcW w:w="1440" w:type="dxa"/>
            <w:tcBorders>
              <w:top w:val="single" w:sz="6" w:space="0" w:color="000000"/>
              <w:left w:val="single" w:sz="6" w:space="0" w:color="000000"/>
              <w:bottom w:val="single" w:sz="6" w:space="0" w:color="000000"/>
            </w:tcBorders>
          </w:tcPr>
          <w:p w:rsidR="00C10F27" w:rsidRPr="00314FA4" w:rsidRDefault="00655E04" w:rsidP="00E01209">
            <w:pPr>
              <w:pStyle w:val="TableParagraph"/>
              <w:spacing w:before="26" w:line="142" w:lineRule="exact"/>
              <w:ind w:left="165"/>
              <w:jc w:val="center"/>
              <w:rPr>
                <w:sz w:val="14"/>
              </w:rPr>
            </w:pPr>
            <w:r w:rsidRPr="00314FA4">
              <w:rPr>
                <w:sz w:val="14"/>
              </w:rPr>
              <w:t>2025</w:t>
            </w:r>
          </w:p>
        </w:tc>
      </w:tr>
      <w:tr w:rsidR="00196CB6" w:rsidRPr="00314FA4" w:rsidTr="00BD219B">
        <w:trPr>
          <w:trHeight w:val="283"/>
        </w:trPr>
        <w:tc>
          <w:tcPr>
            <w:tcW w:w="3891" w:type="dxa"/>
            <w:tcBorders>
              <w:top w:val="single" w:sz="6" w:space="0" w:color="000000"/>
              <w:bottom w:val="single" w:sz="6" w:space="0" w:color="000000"/>
            </w:tcBorders>
            <w:shd w:val="clear" w:color="auto" w:fill="333E4F"/>
          </w:tcPr>
          <w:p w:rsidR="00C10F27" w:rsidRPr="00314FA4" w:rsidRDefault="00C10F27" w:rsidP="00A4329C">
            <w:pPr>
              <w:pStyle w:val="TableParagraph"/>
              <w:spacing w:before="12" w:line="157" w:lineRule="exact"/>
              <w:ind w:left="12"/>
              <w:jc w:val="left"/>
              <w:rPr>
                <w:b/>
                <w:sz w:val="14"/>
              </w:rPr>
            </w:pPr>
            <w:r w:rsidRPr="00314FA4">
              <w:rPr>
                <w:b/>
                <w:sz w:val="14"/>
              </w:rPr>
              <w:t>1. Prihodi od indirektnih poreza iz raspodjele sa Jedinstvenog računa</w:t>
            </w:r>
          </w:p>
        </w:tc>
        <w:tc>
          <w:tcPr>
            <w:tcW w:w="1329" w:type="dxa"/>
            <w:tcBorders>
              <w:top w:val="single" w:sz="6" w:space="0" w:color="000000"/>
              <w:bottom w:val="single" w:sz="6" w:space="0" w:color="000000"/>
              <w:right w:val="single" w:sz="6" w:space="0" w:color="000000"/>
            </w:tcBorders>
            <w:shd w:val="clear" w:color="auto" w:fill="333E4F"/>
          </w:tcPr>
          <w:p w:rsidR="00C10F27" w:rsidRPr="00314FA4" w:rsidRDefault="004D779F" w:rsidP="00A4329C">
            <w:pPr>
              <w:pStyle w:val="TableParagraph"/>
              <w:spacing w:before="12" w:line="157" w:lineRule="exact"/>
              <w:ind w:right="10"/>
              <w:rPr>
                <w:b/>
                <w:sz w:val="14"/>
              </w:rPr>
            </w:pPr>
            <w:r w:rsidRPr="00314FA4">
              <w:rPr>
                <w:b/>
                <w:w w:val="95"/>
                <w:sz w:val="14"/>
              </w:rPr>
              <w:t>28.114.664</w:t>
            </w:r>
          </w:p>
        </w:tc>
        <w:tc>
          <w:tcPr>
            <w:tcW w:w="1329" w:type="dxa"/>
            <w:tcBorders>
              <w:top w:val="single" w:sz="6" w:space="0" w:color="000000"/>
              <w:left w:val="single" w:sz="6" w:space="0" w:color="000000"/>
              <w:bottom w:val="single" w:sz="6" w:space="0" w:color="000000"/>
              <w:right w:val="single" w:sz="6" w:space="0" w:color="000000"/>
            </w:tcBorders>
            <w:shd w:val="clear" w:color="auto" w:fill="333E4F"/>
          </w:tcPr>
          <w:p w:rsidR="00C10F27" w:rsidRPr="00314FA4" w:rsidRDefault="00655E04" w:rsidP="00A4329C">
            <w:pPr>
              <w:pStyle w:val="TableParagraph"/>
              <w:spacing w:before="12" w:line="157" w:lineRule="exact"/>
              <w:ind w:right="10"/>
              <w:rPr>
                <w:b/>
                <w:sz w:val="14"/>
              </w:rPr>
            </w:pPr>
            <w:r w:rsidRPr="00314FA4">
              <w:rPr>
                <w:b/>
                <w:w w:val="95"/>
                <w:sz w:val="14"/>
              </w:rPr>
              <w:t>34,525,149</w:t>
            </w:r>
          </w:p>
        </w:tc>
        <w:tc>
          <w:tcPr>
            <w:tcW w:w="1170" w:type="dxa"/>
            <w:tcBorders>
              <w:top w:val="single" w:sz="6" w:space="0" w:color="000000"/>
              <w:left w:val="single" w:sz="6" w:space="0" w:color="000000"/>
              <w:bottom w:val="single" w:sz="6" w:space="0" w:color="000000"/>
              <w:right w:val="single" w:sz="6" w:space="0" w:color="000000"/>
            </w:tcBorders>
            <w:shd w:val="clear" w:color="auto" w:fill="333E4F"/>
          </w:tcPr>
          <w:p w:rsidR="00C10F27" w:rsidRPr="00314FA4" w:rsidRDefault="00655E04" w:rsidP="00A4329C">
            <w:pPr>
              <w:pStyle w:val="TableParagraph"/>
              <w:spacing w:before="12" w:line="157" w:lineRule="exact"/>
              <w:ind w:right="9"/>
              <w:rPr>
                <w:b/>
                <w:sz w:val="14"/>
              </w:rPr>
            </w:pPr>
            <w:r w:rsidRPr="00314FA4">
              <w:rPr>
                <w:b/>
                <w:w w:val="95"/>
                <w:sz w:val="14"/>
              </w:rPr>
              <w:t>36,608,281</w:t>
            </w:r>
          </w:p>
        </w:tc>
        <w:tc>
          <w:tcPr>
            <w:tcW w:w="1440" w:type="dxa"/>
            <w:tcBorders>
              <w:top w:val="single" w:sz="6" w:space="0" w:color="000000"/>
              <w:left w:val="single" w:sz="6" w:space="0" w:color="000000"/>
              <w:bottom w:val="single" w:sz="6" w:space="0" w:color="000000"/>
            </w:tcBorders>
            <w:shd w:val="clear" w:color="auto" w:fill="333E4F"/>
          </w:tcPr>
          <w:p w:rsidR="00C10F27" w:rsidRPr="00314FA4" w:rsidRDefault="00655E04" w:rsidP="00A4329C">
            <w:pPr>
              <w:pStyle w:val="TableParagraph"/>
              <w:spacing w:before="12" w:line="157" w:lineRule="exact"/>
              <w:ind w:right="-15"/>
              <w:rPr>
                <w:b/>
                <w:sz w:val="14"/>
              </w:rPr>
            </w:pPr>
            <w:r w:rsidRPr="00314FA4">
              <w:rPr>
                <w:b/>
                <w:w w:val="95"/>
                <w:sz w:val="14"/>
              </w:rPr>
              <w:t>40,428,235</w:t>
            </w:r>
          </w:p>
        </w:tc>
      </w:tr>
      <w:tr w:rsidR="00196CB6" w:rsidRPr="00314FA4" w:rsidTr="00BD219B">
        <w:trPr>
          <w:trHeight w:val="284"/>
        </w:trPr>
        <w:tc>
          <w:tcPr>
            <w:tcW w:w="3891" w:type="dxa"/>
            <w:tcBorders>
              <w:top w:val="single" w:sz="6" w:space="0" w:color="000000"/>
              <w:bottom w:val="single" w:sz="6" w:space="0" w:color="000000"/>
            </w:tcBorders>
          </w:tcPr>
          <w:p w:rsidR="00C10F27" w:rsidRPr="00314FA4" w:rsidRDefault="00C10F27" w:rsidP="00A4329C">
            <w:pPr>
              <w:pStyle w:val="TableParagraph"/>
              <w:spacing w:before="26" w:line="142" w:lineRule="exact"/>
              <w:ind w:left="50"/>
              <w:jc w:val="left"/>
              <w:rPr>
                <w:b/>
                <w:sz w:val="14"/>
              </w:rPr>
            </w:pPr>
            <w:r w:rsidRPr="00314FA4">
              <w:rPr>
                <w:b/>
                <w:sz w:val="14"/>
              </w:rPr>
              <w:t>1.1. Kantonalni budžet</w:t>
            </w:r>
          </w:p>
        </w:tc>
        <w:tc>
          <w:tcPr>
            <w:tcW w:w="1329" w:type="dxa"/>
            <w:tcBorders>
              <w:top w:val="single" w:sz="6" w:space="0" w:color="000000"/>
              <w:bottom w:val="single" w:sz="6" w:space="0" w:color="000000"/>
              <w:right w:val="single" w:sz="6" w:space="0" w:color="000000"/>
            </w:tcBorders>
          </w:tcPr>
          <w:p w:rsidR="00C10F27" w:rsidRPr="00314FA4" w:rsidRDefault="00655E04" w:rsidP="00A4329C">
            <w:pPr>
              <w:pStyle w:val="TableParagraph"/>
              <w:spacing w:before="26" w:line="142" w:lineRule="exact"/>
              <w:ind w:right="10"/>
              <w:rPr>
                <w:b/>
                <w:sz w:val="14"/>
              </w:rPr>
            </w:pPr>
            <w:r w:rsidRPr="00314FA4">
              <w:rPr>
                <w:b/>
                <w:w w:val="95"/>
                <w:sz w:val="14"/>
              </w:rPr>
              <w:t>30,589,280</w:t>
            </w:r>
          </w:p>
        </w:tc>
        <w:tc>
          <w:tcPr>
            <w:tcW w:w="1329" w:type="dxa"/>
            <w:tcBorders>
              <w:top w:val="single" w:sz="6" w:space="0" w:color="000000"/>
              <w:left w:val="single" w:sz="6" w:space="0" w:color="000000"/>
              <w:bottom w:val="single" w:sz="6" w:space="0" w:color="000000"/>
              <w:right w:val="single" w:sz="6" w:space="0" w:color="000000"/>
            </w:tcBorders>
          </w:tcPr>
          <w:p w:rsidR="00C10F27" w:rsidRPr="00314FA4" w:rsidRDefault="00655E04" w:rsidP="00A4329C">
            <w:pPr>
              <w:pStyle w:val="TableParagraph"/>
              <w:spacing w:before="26" w:line="142" w:lineRule="exact"/>
              <w:ind w:right="10"/>
              <w:rPr>
                <w:b/>
                <w:sz w:val="14"/>
              </w:rPr>
            </w:pPr>
            <w:r w:rsidRPr="00314FA4">
              <w:rPr>
                <w:b/>
                <w:w w:val="95"/>
                <w:sz w:val="14"/>
              </w:rPr>
              <w:t>31,671,916</w:t>
            </w:r>
          </w:p>
        </w:tc>
        <w:tc>
          <w:tcPr>
            <w:tcW w:w="1170" w:type="dxa"/>
            <w:tcBorders>
              <w:top w:val="single" w:sz="6" w:space="0" w:color="000000"/>
              <w:left w:val="single" w:sz="6" w:space="0" w:color="000000"/>
              <w:bottom w:val="single" w:sz="6" w:space="0" w:color="000000"/>
              <w:right w:val="single" w:sz="6" w:space="0" w:color="000000"/>
            </w:tcBorders>
          </w:tcPr>
          <w:p w:rsidR="00C10F27" w:rsidRPr="00314FA4" w:rsidRDefault="00655E04" w:rsidP="00A4329C">
            <w:pPr>
              <w:pStyle w:val="TableParagraph"/>
              <w:spacing w:before="26" w:line="142" w:lineRule="exact"/>
              <w:ind w:right="9"/>
              <w:rPr>
                <w:b/>
                <w:sz w:val="14"/>
              </w:rPr>
            </w:pPr>
            <w:r w:rsidRPr="00314FA4">
              <w:rPr>
                <w:b/>
                <w:w w:val="95"/>
                <w:sz w:val="14"/>
              </w:rPr>
              <w:t>33,628,254</w:t>
            </w:r>
          </w:p>
        </w:tc>
        <w:tc>
          <w:tcPr>
            <w:tcW w:w="1440" w:type="dxa"/>
            <w:tcBorders>
              <w:top w:val="single" w:sz="6" w:space="0" w:color="000000"/>
              <w:left w:val="single" w:sz="6" w:space="0" w:color="000000"/>
              <w:bottom w:val="single" w:sz="6" w:space="0" w:color="000000"/>
            </w:tcBorders>
          </w:tcPr>
          <w:p w:rsidR="00C10F27" w:rsidRPr="00314FA4" w:rsidRDefault="00655E04" w:rsidP="00A4329C">
            <w:pPr>
              <w:pStyle w:val="TableParagraph"/>
              <w:spacing w:before="26" w:line="142" w:lineRule="exact"/>
              <w:ind w:right="-15"/>
              <w:rPr>
                <w:b/>
                <w:sz w:val="14"/>
              </w:rPr>
            </w:pPr>
            <w:r w:rsidRPr="00314FA4">
              <w:rPr>
                <w:b/>
                <w:w w:val="95"/>
                <w:sz w:val="14"/>
              </w:rPr>
              <w:t>37,189,056</w:t>
            </w:r>
          </w:p>
        </w:tc>
      </w:tr>
      <w:tr w:rsidR="00196CB6" w:rsidRPr="00314FA4" w:rsidTr="00BD219B">
        <w:trPr>
          <w:trHeight w:val="283"/>
        </w:trPr>
        <w:tc>
          <w:tcPr>
            <w:tcW w:w="3891" w:type="dxa"/>
            <w:tcBorders>
              <w:top w:val="single" w:sz="6" w:space="0" w:color="000000"/>
              <w:bottom w:val="single" w:sz="6" w:space="0" w:color="000000"/>
            </w:tcBorders>
          </w:tcPr>
          <w:p w:rsidR="00C10F27" w:rsidRPr="00314FA4" w:rsidRDefault="00C10F27" w:rsidP="00A4329C">
            <w:pPr>
              <w:pStyle w:val="TableParagraph"/>
              <w:spacing w:before="26" w:line="142" w:lineRule="exact"/>
              <w:ind w:left="50"/>
              <w:jc w:val="left"/>
              <w:rPr>
                <w:b/>
                <w:sz w:val="14"/>
              </w:rPr>
            </w:pPr>
            <w:r w:rsidRPr="00314FA4">
              <w:rPr>
                <w:b/>
                <w:sz w:val="14"/>
              </w:rPr>
              <w:t>1.2. Općinski/gradski budžeti</w:t>
            </w:r>
          </w:p>
        </w:tc>
        <w:tc>
          <w:tcPr>
            <w:tcW w:w="1329" w:type="dxa"/>
            <w:tcBorders>
              <w:top w:val="single" w:sz="6" w:space="0" w:color="000000"/>
              <w:bottom w:val="single" w:sz="6" w:space="0" w:color="000000"/>
              <w:right w:val="single" w:sz="6" w:space="0" w:color="000000"/>
            </w:tcBorders>
          </w:tcPr>
          <w:p w:rsidR="00C10F27" w:rsidRPr="00314FA4" w:rsidRDefault="00655E04" w:rsidP="00655E04">
            <w:pPr>
              <w:pStyle w:val="TableParagraph"/>
              <w:spacing w:before="26" w:line="142" w:lineRule="exact"/>
              <w:ind w:right="10"/>
              <w:rPr>
                <w:b/>
                <w:sz w:val="14"/>
              </w:rPr>
            </w:pPr>
            <w:r w:rsidRPr="00314FA4">
              <w:rPr>
                <w:b/>
                <w:w w:val="95"/>
                <w:sz w:val="14"/>
              </w:rPr>
              <w:t>2,960,905</w:t>
            </w:r>
          </w:p>
        </w:tc>
        <w:tc>
          <w:tcPr>
            <w:tcW w:w="1329" w:type="dxa"/>
            <w:tcBorders>
              <w:top w:val="single" w:sz="6" w:space="0" w:color="000000"/>
              <w:left w:val="single" w:sz="6" w:space="0" w:color="000000"/>
              <w:bottom w:val="single" w:sz="6" w:space="0" w:color="000000"/>
              <w:right w:val="single" w:sz="6" w:space="0" w:color="000000"/>
            </w:tcBorders>
          </w:tcPr>
          <w:p w:rsidR="00C10F27" w:rsidRPr="00314FA4" w:rsidRDefault="00655E04" w:rsidP="00A4329C">
            <w:pPr>
              <w:pStyle w:val="TableParagraph"/>
              <w:spacing w:before="26" w:line="142" w:lineRule="exact"/>
              <w:ind w:right="10"/>
              <w:rPr>
                <w:b/>
                <w:sz w:val="14"/>
              </w:rPr>
            </w:pPr>
            <w:r w:rsidRPr="00314FA4">
              <w:rPr>
                <w:b/>
                <w:w w:val="95"/>
                <w:sz w:val="14"/>
              </w:rPr>
              <w:t>2853,233</w:t>
            </w:r>
          </w:p>
        </w:tc>
        <w:tc>
          <w:tcPr>
            <w:tcW w:w="1170" w:type="dxa"/>
            <w:tcBorders>
              <w:top w:val="single" w:sz="6" w:space="0" w:color="000000"/>
              <w:left w:val="single" w:sz="6" w:space="0" w:color="000000"/>
              <w:bottom w:val="single" w:sz="6" w:space="0" w:color="000000"/>
              <w:right w:val="single" w:sz="6" w:space="0" w:color="000000"/>
            </w:tcBorders>
          </w:tcPr>
          <w:p w:rsidR="00C10F27" w:rsidRPr="00314FA4" w:rsidRDefault="00655E04" w:rsidP="00A4329C">
            <w:pPr>
              <w:pStyle w:val="TableParagraph"/>
              <w:spacing w:before="26" w:line="142" w:lineRule="exact"/>
              <w:ind w:right="9"/>
              <w:rPr>
                <w:b/>
                <w:sz w:val="14"/>
              </w:rPr>
            </w:pPr>
            <w:r w:rsidRPr="00314FA4">
              <w:rPr>
                <w:b/>
                <w:w w:val="95"/>
                <w:sz w:val="14"/>
              </w:rPr>
              <w:t>2,980,027</w:t>
            </w:r>
          </w:p>
        </w:tc>
        <w:tc>
          <w:tcPr>
            <w:tcW w:w="1440" w:type="dxa"/>
            <w:tcBorders>
              <w:top w:val="single" w:sz="6" w:space="0" w:color="000000"/>
              <w:left w:val="single" w:sz="6" w:space="0" w:color="000000"/>
              <w:bottom w:val="single" w:sz="6" w:space="0" w:color="000000"/>
            </w:tcBorders>
          </w:tcPr>
          <w:p w:rsidR="00C10F27" w:rsidRPr="00314FA4" w:rsidRDefault="00655E04" w:rsidP="00A4329C">
            <w:pPr>
              <w:pStyle w:val="TableParagraph"/>
              <w:spacing w:before="26" w:line="142" w:lineRule="exact"/>
              <w:ind w:right="-15"/>
              <w:rPr>
                <w:b/>
                <w:sz w:val="14"/>
              </w:rPr>
            </w:pPr>
            <w:r w:rsidRPr="00314FA4">
              <w:rPr>
                <w:b/>
                <w:w w:val="95"/>
                <w:sz w:val="14"/>
              </w:rPr>
              <w:t>3,239,179</w:t>
            </w:r>
          </w:p>
        </w:tc>
      </w:tr>
      <w:tr w:rsidR="00196CB6" w:rsidRPr="00314FA4" w:rsidTr="00BD219B">
        <w:trPr>
          <w:trHeight w:val="283"/>
        </w:trPr>
        <w:tc>
          <w:tcPr>
            <w:tcW w:w="3891" w:type="dxa"/>
            <w:tcBorders>
              <w:top w:val="single" w:sz="6" w:space="0" w:color="000000"/>
              <w:bottom w:val="single" w:sz="6" w:space="0" w:color="000000"/>
            </w:tcBorders>
          </w:tcPr>
          <w:p w:rsidR="00C10F27" w:rsidRPr="00314FA4" w:rsidRDefault="00C10F27" w:rsidP="00A4329C">
            <w:pPr>
              <w:pStyle w:val="TableParagraph"/>
              <w:spacing w:before="26" w:line="142" w:lineRule="exact"/>
              <w:ind w:left="165"/>
              <w:jc w:val="left"/>
              <w:rPr>
                <w:sz w:val="14"/>
              </w:rPr>
            </w:pPr>
            <w:r w:rsidRPr="00314FA4">
              <w:rPr>
                <w:sz w:val="14"/>
              </w:rPr>
              <w:t>1.2.1. Foča-Ustikolina</w:t>
            </w:r>
          </w:p>
        </w:tc>
        <w:tc>
          <w:tcPr>
            <w:tcW w:w="1329" w:type="dxa"/>
            <w:tcBorders>
              <w:top w:val="single" w:sz="6" w:space="0" w:color="000000"/>
              <w:bottom w:val="single" w:sz="6" w:space="0" w:color="000000"/>
              <w:right w:val="single" w:sz="6" w:space="0" w:color="000000"/>
            </w:tcBorders>
          </w:tcPr>
          <w:p w:rsidR="00C10F27" w:rsidRPr="00314FA4" w:rsidRDefault="00655E04" w:rsidP="00A4329C">
            <w:pPr>
              <w:pStyle w:val="TableParagraph"/>
              <w:spacing w:before="26" w:line="142" w:lineRule="exact"/>
              <w:ind w:right="10"/>
              <w:rPr>
                <w:sz w:val="14"/>
              </w:rPr>
            </w:pPr>
            <w:r w:rsidRPr="00314FA4">
              <w:rPr>
                <w:w w:val="95"/>
                <w:sz w:val="14"/>
              </w:rPr>
              <w:t>331,980</w:t>
            </w:r>
          </w:p>
        </w:tc>
        <w:tc>
          <w:tcPr>
            <w:tcW w:w="1329" w:type="dxa"/>
            <w:tcBorders>
              <w:top w:val="single" w:sz="6" w:space="0" w:color="000000"/>
              <w:left w:val="single" w:sz="6" w:space="0" w:color="000000"/>
              <w:bottom w:val="single" w:sz="6" w:space="0" w:color="000000"/>
              <w:right w:val="single" w:sz="6" w:space="0" w:color="000000"/>
            </w:tcBorders>
          </w:tcPr>
          <w:p w:rsidR="00C10F27" w:rsidRPr="00314FA4" w:rsidRDefault="00655E04" w:rsidP="00A4329C">
            <w:pPr>
              <w:pStyle w:val="TableParagraph"/>
              <w:spacing w:before="26" w:line="142" w:lineRule="exact"/>
              <w:ind w:right="10"/>
              <w:rPr>
                <w:sz w:val="14"/>
              </w:rPr>
            </w:pPr>
            <w:r w:rsidRPr="00314FA4">
              <w:rPr>
                <w:w w:val="95"/>
                <w:sz w:val="14"/>
              </w:rPr>
              <w:t>316,706</w:t>
            </w:r>
          </w:p>
        </w:tc>
        <w:tc>
          <w:tcPr>
            <w:tcW w:w="1170" w:type="dxa"/>
            <w:tcBorders>
              <w:top w:val="single" w:sz="6" w:space="0" w:color="000000"/>
              <w:left w:val="single" w:sz="6" w:space="0" w:color="000000"/>
              <w:bottom w:val="single" w:sz="6" w:space="0" w:color="000000"/>
              <w:right w:val="single" w:sz="6" w:space="0" w:color="000000"/>
            </w:tcBorders>
          </w:tcPr>
          <w:p w:rsidR="00C10F27" w:rsidRPr="00314FA4" w:rsidRDefault="00655E04" w:rsidP="00A4329C">
            <w:pPr>
              <w:pStyle w:val="TableParagraph"/>
              <w:spacing w:before="26" w:line="142" w:lineRule="exact"/>
              <w:ind w:right="9"/>
              <w:rPr>
                <w:sz w:val="14"/>
              </w:rPr>
            </w:pPr>
            <w:r w:rsidRPr="00314FA4">
              <w:rPr>
                <w:w w:val="95"/>
                <w:sz w:val="14"/>
              </w:rPr>
              <w:t>330,780</w:t>
            </w:r>
          </w:p>
        </w:tc>
        <w:tc>
          <w:tcPr>
            <w:tcW w:w="1440" w:type="dxa"/>
            <w:tcBorders>
              <w:top w:val="single" w:sz="6" w:space="0" w:color="000000"/>
              <w:left w:val="single" w:sz="6" w:space="0" w:color="000000"/>
              <w:bottom w:val="single" w:sz="6" w:space="0" w:color="000000"/>
            </w:tcBorders>
          </w:tcPr>
          <w:p w:rsidR="00C10F27" w:rsidRPr="00314FA4" w:rsidRDefault="00CB7BE2" w:rsidP="00A4329C">
            <w:pPr>
              <w:pStyle w:val="TableParagraph"/>
              <w:spacing w:before="26" w:line="142" w:lineRule="exact"/>
              <w:ind w:right="-15"/>
              <w:rPr>
                <w:sz w:val="14"/>
              </w:rPr>
            </w:pPr>
            <w:r w:rsidRPr="00314FA4">
              <w:rPr>
                <w:w w:val="95"/>
                <w:sz w:val="14"/>
              </w:rPr>
              <w:t>359,546</w:t>
            </w:r>
          </w:p>
        </w:tc>
      </w:tr>
      <w:tr w:rsidR="00196CB6" w:rsidRPr="00314FA4" w:rsidTr="00BD219B">
        <w:trPr>
          <w:trHeight w:val="283"/>
        </w:trPr>
        <w:tc>
          <w:tcPr>
            <w:tcW w:w="3891" w:type="dxa"/>
            <w:tcBorders>
              <w:top w:val="single" w:sz="6" w:space="0" w:color="000000"/>
              <w:bottom w:val="single" w:sz="6" w:space="0" w:color="000000"/>
            </w:tcBorders>
          </w:tcPr>
          <w:p w:rsidR="00C10F27" w:rsidRPr="00314FA4" w:rsidRDefault="00C10F27" w:rsidP="00A4329C">
            <w:pPr>
              <w:pStyle w:val="TableParagraph"/>
              <w:spacing w:before="26" w:line="142" w:lineRule="exact"/>
              <w:ind w:left="165"/>
              <w:jc w:val="left"/>
              <w:rPr>
                <w:sz w:val="14"/>
              </w:rPr>
            </w:pPr>
            <w:r w:rsidRPr="00314FA4">
              <w:rPr>
                <w:sz w:val="14"/>
              </w:rPr>
              <w:t>1.2.2. Goražde</w:t>
            </w:r>
          </w:p>
        </w:tc>
        <w:tc>
          <w:tcPr>
            <w:tcW w:w="1329" w:type="dxa"/>
            <w:tcBorders>
              <w:top w:val="single" w:sz="6" w:space="0" w:color="000000"/>
              <w:bottom w:val="single" w:sz="6" w:space="0" w:color="000000"/>
              <w:right w:val="single" w:sz="6" w:space="0" w:color="000000"/>
            </w:tcBorders>
          </w:tcPr>
          <w:p w:rsidR="00C10F27" w:rsidRPr="00314FA4" w:rsidRDefault="00655E04" w:rsidP="00A4329C">
            <w:pPr>
              <w:pStyle w:val="TableParagraph"/>
              <w:spacing w:before="26" w:line="142" w:lineRule="exact"/>
              <w:ind w:right="10"/>
              <w:rPr>
                <w:sz w:val="14"/>
              </w:rPr>
            </w:pPr>
            <w:r w:rsidRPr="00314FA4">
              <w:rPr>
                <w:w w:val="95"/>
                <w:sz w:val="14"/>
              </w:rPr>
              <w:t>2,473,402</w:t>
            </w:r>
          </w:p>
        </w:tc>
        <w:tc>
          <w:tcPr>
            <w:tcW w:w="1329" w:type="dxa"/>
            <w:tcBorders>
              <w:top w:val="single" w:sz="6" w:space="0" w:color="000000"/>
              <w:left w:val="single" w:sz="6" w:space="0" w:color="000000"/>
              <w:bottom w:val="single" w:sz="6" w:space="0" w:color="000000"/>
              <w:right w:val="single" w:sz="6" w:space="0" w:color="000000"/>
            </w:tcBorders>
          </w:tcPr>
          <w:p w:rsidR="00C10F27" w:rsidRPr="00314FA4" w:rsidRDefault="00655E04" w:rsidP="00A4329C">
            <w:pPr>
              <w:pStyle w:val="TableParagraph"/>
              <w:spacing w:before="26" w:line="142" w:lineRule="exact"/>
              <w:ind w:right="10"/>
              <w:rPr>
                <w:sz w:val="14"/>
              </w:rPr>
            </w:pPr>
            <w:r w:rsidRPr="00314FA4">
              <w:rPr>
                <w:w w:val="95"/>
                <w:sz w:val="14"/>
              </w:rPr>
              <w:t>2,386,812</w:t>
            </w:r>
          </w:p>
        </w:tc>
        <w:tc>
          <w:tcPr>
            <w:tcW w:w="1170" w:type="dxa"/>
            <w:tcBorders>
              <w:top w:val="single" w:sz="6" w:space="0" w:color="000000"/>
              <w:left w:val="single" w:sz="6" w:space="0" w:color="000000"/>
              <w:bottom w:val="single" w:sz="6" w:space="0" w:color="000000"/>
              <w:right w:val="single" w:sz="6" w:space="0" w:color="000000"/>
            </w:tcBorders>
          </w:tcPr>
          <w:p w:rsidR="00C10F27" w:rsidRPr="00314FA4" w:rsidRDefault="00655E04" w:rsidP="00A4329C">
            <w:pPr>
              <w:pStyle w:val="TableParagraph"/>
              <w:spacing w:before="26" w:line="142" w:lineRule="exact"/>
              <w:ind w:right="9"/>
              <w:rPr>
                <w:sz w:val="14"/>
              </w:rPr>
            </w:pPr>
            <w:r w:rsidRPr="00314FA4">
              <w:rPr>
                <w:w w:val="95"/>
                <w:sz w:val="14"/>
              </w:rPr>
              <w:t>2,492,878</w:t>
            </w:r>
          </w:p>
        </w:tc>
        <w:tc>
          <w:tcPr>
            <w:tcW w:w="1440" w:type="dxa"/>
            <w:tcBorders>
              <w:top w:val="single" w:sz="6" w:space="0" w:color="000000"/>
              <w:left w:val="single" w:sz="6" w:space="0" w:color="000000"/>
              <w:bottom w:val="single" w:sz="6" w:space="0" w:color="000000"/>
            </w:tcBorders>
          </w:tcPr>
          <w:p w:rsidR="00C10F27" w:rsidRPr="00314FA4" w:rsidRDefault="00CB7BE2" w:rsidP="00A4329C">
            <w:pPr>
              <w:pStyle w:val="TableParagraph"/>
              <w:spacing w:before="26" w:line="142" w:lineRule="exact"/>
              <w:ind w:right="-15"/>
              <w:rPr>
                <w:sz w:val="14"/>
              </w:rPr>
            </w:pPr>
            <w:r w:rsidRPr="00314FA4">
              <w:rPr>
                <w:w w:val="95"/>
                <w:sz w:val="14"/>
              </w:rPr>
              <w:t>2,709,666</w:t>
            </w:r>
          </w:p>
        </w:tc>
      </w:tr>
      <w:tr w:rsidR="00196CB6" w:rsidRPr="00314FA4" w:rsidTr="00BD219B">
        <w:trPr>
          <w:trHeight w:val="278"/>
        </w:trPr>
        <w:tc>
          <w:tcPr>
            <w:tcW w:w="3891" w:type="dxa"/>
            <w:tcBorders>
              <w:top w:val="single" w:sz="6" w:space="0" w:color="000000"/>
            </w:tcBorders>
          </w:tcPr>
          <w:p w:rsidR="00C10F27" w:rsidRPr="00314FA4" w:rsidRDefault="00C10F27" w:rsidP="00A4329C">
            <w:pPr>
              <w:pStyle w:val="TableParagraph"/>
              <w:spacing w:before="24" w:line="140" w:lineRule="exact"/>
              <w:ind w:left="165"/>
              <w:jc w:val="left"/>
              <w:rPr>
                <w:sz w:val="14"/>
              </w:rPr>
            </w:pPr>
            <w:r w:rsidRPr="00314FA4">
              <w:rPr>
                <w:sz w:val="14"/>
              </w:rPr>
              <w:t>1.2.3. Pale-Prača</w:t>
            </w:r>
          </w:p>
        </w:tc>
        <w:tc>
          <w:tcPr>
            <w:tcW w:w="1329" w:type="dxa"/>
            <w:tcBorders>
              <w:top w:val="single" w:sz="6" w:space="0" w:color="000000"/>
              <w:right w:val="single" w:sz="6" w:space="0" w:color="000000"/>
            </w:tcBorders>
          </w:tcPr>
          <w:p w:rsidR="00C10F27" w:rsidRPr="00314FA4" w:rsidRDefault="00655E04" w:rsidP="00A4329C">
            <w:pPr>
              <w:pStyle w:val="TableParagraph"/>
              <w:spacing w:before="24" w:line="140" w:lineRule="exact"/>
              <w:ind w:right="10"/>
              <w:rPr>
                <w:sz w:val="14"/>
              </w:rPr>
            </w:pPr>
            <w:r w:rsidRPr="00314FA4">
              <w:rPr>
                <w:w w:val="95"/>
                <w:sz w:val="14"/>
              </w:rPr>
              <w:t>155,522</w:t>
            </w:r>
          </w:p>
        </w:tc>
        <w:tc>
          <w:tcPr>
            <w:tcW w:w="1329" w:type="dxa"/>
            <w:tcBorders>
              <w:top w:val="single" w:sz="6" w:space="0" w:color="000000"/>
              <w:left w:val="single" w:sz="6" w:space="0" w:color="000000"/>
              <w:right w:val="single" w:sz="6" w:space="0" w:color="000000"/>
            </w:tcBorders>
          </w:tcPr>
          <w:p w:rsidR="00C10F27" w:rsidRPr="00314FA4" w:rsidRDefault="00655E04" w:rsidP="00A4329C">
            <w:pPr>
              <w:pStyle w:val="TableParagraph"/>
              <w:spacing w:before="24" w:line="140" w:lineRule="exact"/>
              <w:ind w:right="10"/>
              <w:rPr>
                <w:sz w:val="14"/>
              </w:rPr>
            </w:pPr>
            <w:r w:rsidRPr="00314FA4">
              <w:rPr>
                <w:w w:val="95"/>
                <w:sz w:val="14"/>
              </w:rPr>
              <w:t>149,719</w:t>
            </w:r>
          </w:p>
        </w:tc>
        <w:tc>
          <w:tcPr>
            <w:tcW w:w="1170" w:type="dxa"/>
            <w:tcBorders>
              <w:top w:val="single" w:sz="6" w:space="0" w:color="000000"/>
              <w:left w:val="single" w:sz="6" w:space="0" w:color="000000"/>
              <w:right w:val="single" w:sz="6" w:space="0" w:color="000000"/>
            </w:tcBorders>
          </w:tcPr>
          <w:p w:rsidR="00C10F27" w:rsidRPr="00314FA4" w:rsidRDefault="00655E04" w:rsidP="00A4329C">
            <w:pPr>
              <w:pStyle w:val="TableParagraph"/>
              <w:spacing w:before="24" w:line="140" w:lineRule="exact"/>
              <w:ind w:right="9"/>
              <w:rPr>
                <w:sz w:val="14"/>
              </w:rPr>
            </w:pPr>
            <w:r w:rsidRPr="00314FA4">
              <w:rPr>
                <w:w w:val="95"/>
                <w:sz w:val="14"/>
              </w:rPr>
              <w:t>156,369</w:t>
            </w:r>
          </w:p>
        </w:tc>
        <w:tc>
          <w:tcPr>
            <w:tcW w:w="1440" w:type="dxa"/>
            <w:tcBorders>
              <w:top w:val="single" w:sz="6" w:space="0" w:color="000000"/>
              <w:left w:val="single" w:sz="6" w:space="0" w:color="000000"/>
            </w:tcBorders>
          </w:tcPr>
          <w:p w:rsidR="00C10F27" w:rsidRPr="00314FA4" w:rsidRDefault="00CB7BE2" w:rsidP="00A4329C">
            <w:pPr>
              <w:pStyle w:val="TableParagraph"/>
              <w:spacing w:before="24" w:line="140" w:lineRule="exact"/>
              <w:ind w:right="-15"/>
              <w:rPr>
                <w:sz w:val="14"/>
              </w:rPr>
            </w:pPr>
            <w:r w:rsidRPr="00314FA4">
              <w:rPr>
                <w:w w:val="95"/>
                <w:sz w:val="14"/>
              </w:rPr>
              <w:t>169,967</w:t>
            </w:r>
          </w:p>
        </w:tc>
      </w:tr>
    </w:tbl>
    <w:p w:rsidR="00A4329C" w:rsidRPr="00314FA4" w:rsidRDefault="00A4329C" w:rsidP="00E01209">
      <w:pPr>
        <w:pStyle w:val="BodyText"/>
        <w:spacing w:before="95"/>
        <w:ind w:left="146" w:right="-279"/>
        <w:jc w:val="both"/>
        <w:rPr>
          <w:sz w:val="14"/>
        </w:rPr>
      </w:pPr>
      <w:r w:rsidRPr="00314FA4">
        <w:rPr>
          <w:b/>
          <w:sz w:val="14"/>
        </w:rPr>
        <w:t>NAPOMENA:</w:t>
      </w:r>
      <w:r w:rsidRPr="00314FA4">
        <w:rPr>
          <w:b/>
          <w:spacing w:val="-6"/>
          <w:sz w:val="14"/>
        </w:rPr>
        <w:t xml:space="preserve"> </w:t>
      </w:r>
      <w:r w:rsidRPr="00314FA4">
        <w:rPr>
          <w:sz w:val="14"/>
        </w:rPr>
        <w:t>Raspodjela</w:t>
      </w:r>
      <w:r w:rsidRPr="00314FA4">
        <w:rPr>
          <w:spacing w:val="-7"/>
          <w:sz w:val="14"/>
        </w:rPr>
        <w:t xml:space="preserve"> </w:t>
      </w:r>
      <w:r w:rsidRPr="00314FA4">
        <w:rPr>
          <w:sz w:val="14"/>
        </w:rPr>
        <w:t>prihoda</w:t>
      </w:r>
      <w:r w:rsidRPr="00314FA4">
        <w:rPr>
          <w:spacing w:val="-8"/>
          <w:sz w:val="14"/>
        </w:rPr>
        <w:t xml:space="preserve"> </w:t>
      </w:r>
      <w:r w:rsidRPr="00314FA4">
        <w:rPr>
          <w:sz w:val="14"/>
        </w:rPr>
        <w:t>za</w:t>
      </w:r>
      <w:r w:rsidRPr="00314FA4">
        <w:rPr>
          <w:spacing w:val="-7"/>
          <w:sz w:val="14"/>
        </w:rPr>
        <w:t xml:space="preserve"> </w:t>
      </w:r>
      <w:r w:rsidRPr="00314FA4">
        <w:rPr>
          <w:sz w:val="14"/>
        </w:rPr>
        <w:t>kantone</w:t>
      </w:r>
      <w:r w:rsidRPr="00314FA4">
        <w:rPr>
          <w:spacing w:val="-8"/>
          <w:sz w:val="14"/>
        </w:rPr>
        <w:t xml:space="preserve"> </w:t>
      </w:r>
      <w:r w:rsidRPr="00314FA4">
        <w:rPr>
          <w:sz w:val="14"/>
        </w:rPr>
        <w:t>i</w:t>
      </w:r>
      <w:r w:rsidRPr="00314FA4">
        <w:rPr>
          <w:spacing w:val="-8"/>
          <w:sz w:val="14"/>
        </w:rPr>
        <w:t xml:space="preserve"> </w:t>
      </w:r>
      <w:r w:rsidRPr="00314FA4">
        <w:rPr>
          <w:sz w:val="14"/>
        </w:rPr>
        <w:t>općine/gradove</w:t>
      </w:r>
      <w:r w:rsidRPr="00314FA4">
        <w:rPr>
          <w:spacing w:val="-7"/>
          <w:sz w:val="14"/>
        </w:rPr>
        <w:t xml:space="preserve"> </w:t>
      </w:r>
      <w:r w:rsidRPr="00314FA4">
        <w:rPr>
          <w:sz w:val="14"/>
        </w:rPr>
        <w:t>pojedinačno</w:t>
      </w:r>
      <w:r w:rsidRPr="00314FA4">
        <w:rPr>
          <w:spacing w:val="-8"/>
          <w:sz w:val="14"/>
        </w:rPr>
        <w:t xml:space="preserve"> </w:t>
      </w:r>
      <w:r w:rsidRPr="00314FA4">
        <w:rPr>
          <w:sz w:val="14"/>
        </w:rPr>
        <w:t>za</w:t>
      </w:r>
      <w:r w:rsidRPr="00314FA4">
        <w:rPr>
          <w:spacing w:val="-8"/>
          <w:sz w:val="14"/>
        </w:rPr>
        <w:t xml:space="preserve"> </w:t>
      </w:r>
      <w:r w:rsidR="00655E04" w:rsidRPr="00314FA4">
        <w:rPr>
          <w:sz w:val="14"/>
        </w:rPr>
        <w:t>2022</w:t>
      </w:r>
      <w:r w:rsidRPr="00314FA4">
        <w:rPr>
          <w:sz w:val="14"/>
        </w:rPr>
        <w:t>.</w:t>
      </w:r>
      <w:r w:rsidRPr="00314FA4">
        <w:rPr>
          <w:spacing w:val="-7"/>
          <w:sz w:val="14"/>
        </w:rPr>
        <w:t xml:space="preserve"> </w:t>
      </w:r>
      <w:r w:rsidRPr="00314FA4">
        <w:rPr>
          <w:sz w:val="14"/>
        </w:rPr>
        <w:t>godinu</w:t>
      </w:r>
      <w:r w:rsidRPr="00314FA4">
        <w:rPr>
          <w:spacing w:val="-9"/>
          <w:sz w:val="14"/>
        </w:rPr>
        <w:t xml:space="preserve"> </w:t>
      </w:r>
      <w:r w:rsidRPr="00314FA4">
        <w:rPr>
          <w:sz w:val="14"/>
        </w:rPr>
        <w:t>i</w:t>
      </w:r>
      <w:r w:rsidRPr="00314FA4">
        <w:rPr>
          <w:spacing w:val="-7"/>
          <w:sz w:val="14"/>
        </w:rPr>
        <w:t xml:space="preserve"> </w:t>
      </w:r>
      <w:r w:rsidRPr="00314FA4">
        <w:rPr>
          <w:sz w:val="14"/>
        </w:rPr>
        <w:t>period</w:t>
      </w:r>
      <w:r w:rsidRPr="00314FA4">
        <w:rPr>
          <w:spacing w:val="-9"/>
          <w:sz w:val="14"/>
        </w:rPr>
        <w:t xml:space="preserve"> </w:t>
      </w:r>
      <w:r w:rsidR="00655E04" w:rsidRPr="00314FA4">
        <w:rPr>
          <w:sz w:val="14"/>
        </w:rPr>
        <w:t>2023-2025</w:t>
      </w:r>
      <w:r w:rsidRPr="00314FA4">
        <w:rPr>
          <w:sz w:val="14"/>
        </w:rPr>
        <w:t>.</w:t>
      </w:r>
      <w:r w:rsidRPr="00314FA4">
        <w:rPr>
          <w:spacing w:val="-7"/>
          <w:sz w:val="14"/>
        </w:rPr>
        <w:t xml:space="preserve"> </w:t>
      </w:r>
      <w:r w:rsidRPr="00314FA4">
        <w:rPr>
          <w:sz w:val="14"/>
        </w:rPr>
        <w:t>godina</w:t>
      </w:r>
      <w:r w:rsidRPr="00314FA4">
        <w:rPr>
          <w:spacing w:val="-9"/>
          <w:sz w:val="14"/>
        </w:rPr>
        <w:t xml:space="preserve"> </w:t>
      </w:r>
      <w:r w:rsidRPr="00314FA4">
        <w:rPr>
          <w:sz w:val="14"/>
        </w:rPr>
        <w:t>urađena</w:t>
      </w:r>
      <w:r w:rsidRPr="00314FA4">
        <w:rPr>
          <w:spacing w:val="-7"/>
          <w:sz w:val="14"/>
        </w:rPr>
        <w:t xml:space="preserve"> </w:t>
      </w:r>
      <w:r w:rsidRPr="00314FA4">
        <w:rPr>
          <w:sz w:val="14"/>
        </w:rPr>
        <w:t>je</w:t>
      </w:r>
      <w:r w:rsidRPr="00314FA4">
        <w:rPr>
          <w:spacing w:val="-8"/>
          <w:sz w:val="14"/>
        </w:rPr>
        <w:t xml:space="preserve"> </w:t>
      </w:r>
      <w:r w:rsidRPr="00314FA4">
        <w:rPr>
          <w:sz w:val="14"/>
        </w:rPr>
        <w:t>u</w:t>
      </w:r>
      <w:r w:rsidRPr="00314FA4">
        <w:rPr>
          <w:spacing w:val="-8"/>
          <w:sz w:val="14"/>
        </w:rPr>
        <w:t xml:space="preserve"> </w:t>
      </w:r>
      <w:r w:rsidRPr="00314FA4">
        <w:rPr>
          <w:sz w:val="14"/>
        </w:rPr>
        <w:t>skladu</w:t>
      </w:r>
      <w:r w:rsidRPr="00314FA4">
        <w:rPr>
          <w:spacing w:val="-8"/>
          <w:sz w:val="14"/>
        </w:rPr>
        <w:t xml:space="preserve"> </w:t>
      </w:r>
      <w:r w:rsidRPr="00314FA4">
        <w:rPr>
          <w:sz w:val="14"/>
        </w:rPr>
        <w:t>sa</w:t>
      </w:r>
      <w:r w:rsidRPr="00314FA4">
        <w:rPr>
          <w:spacing w:val="-8"/>
          <w:sz w:val="14"/>
        </w:rPr>
        <w:t xml:space="preserve"> </w:t>
      </w:r>
      <w:r w:rsidRPr="00314FA4">
        <w:rPr>
          <w:sz w:val="14"/>
        </w:rPr>
        <w:t>metodologijom</w:t>
      </w:r>
      <w:r w:rsidRPr="00314FA4">
        <w:rPr>
          <w:spacing w:val="-6"/>
          <w:sz w:val="14"/>
        </w:rPr>
        <w:t xml:space="preserve"> </w:t>
      </w:r>
      <w:r w:rsidRPr="00314FA4">
        <w:rPr>
          <w:sz w:val="14"/>
        </w:rPr>
        <w:t>propisanom</w:t>
      </w:r>
      <w:r w:rsidRPr="00314FA4">
        <w:rPr>
          <w:spacing w:val="-6"/>
          <w:sz w:val="14"/>
        </w:rPr>
        <w:t xml:space="preserve"> </w:t>
      </w:r>
      <w:r w:rsidRPr="00314FA4">
        <w:rPr>
          <w:sz w:val="14"/>
        </w:rPr>
        <w:t>Zakonom</w:t>
      </w:r>
      <w:r w:rsidRPr="00314FA4">
        <w:rPr>
          <w:spacing w:val="-6"/>
          <w:sz w:val="14"/>
        </w:rPr>
        <w:t xml:space="preserve"> </w:t>
      </w:r>
      <w:r w:rsidRPr="00314FA4">
        <w:rPr>
          <w:sz w:val="14"/>
        </w:rPr>
        <w:t>o</w:t>
      </w:r>
      <w:r w:rsidRPr="00314FA4">
        <w:rPr>
          <w:spacing w:val="-9"/>
          <w:sz w:val="14"/>
        </w:rPr>
        <w:t xml:space="preserve"> </w:t>
      </w:r>
      <w:r w:rsidRPr="00314FA4">
        <w:rPr>
          <w:sz w:val="14"/>
        </w:rPr>
        <w:t>pripadnosti</w:t>
      </w:r>
      <w:r w:rsidRPr="00314FA4">
        <w:rPr>
          <w:spacing w:val="-7"/>
          <w:sz w:val="14"/>
        </w:rPr>
        <w:t xml:space="preserve"> </w:t>
      </w:r>
      <w:r w:rsidRPr="00314FA4">
        <w:rPr>
          <w:sz w:val="14"/>
        </w:rPr>
        <w:t>javnih</w:t>
      </w:r>
      <w:r w:rsidRPr="00314FA4">
        <w:rPr>
          <w:spacing w:val="-8"/>
          <w:sz w:val="14"/>
        </w:rPr>
        <w:t xml:space="preserve"> </w:t>
      </w:r>
      <w:r w:rsidRPr="00314FA4">
        <w:rPr>
          <w:sz w:val="14"/>
        </w:rPr>
        <w:t>prihoda</w:t>
      </w:r>
      <w:r w:rsidRPr="00314FA4">
        <w:rPr>
          <w:spacing w:val="-8"/>
          <w:sz w:val="14"/>
        </w:rPr>
        <w:t xml:space="preserve"> </w:t>
      </w:r>
      <w:r w:rsidRPr="00314FA4">
        <w:rPr>
          <w:sz w:val="14"/>
        </w:rPr>
        <w:t>u</w:t>
      </w:r>
      <w:r w:rsidRPr="00314FA4">
        <w:rPr>
          <w:spacing w:val="-8"/>
          <w:sz w:val="14"/>
        </w:rPr>
        <w:t xml:space="preserve"> </w:t>
      </w:r>
      <w:r w:rsidRPr="00314FA4">
        <w:rPr>
          <w:sz w:val="14"/>
        </w:rPr>
        <w:t>Federaciji</w:t>
      </w:r>
      <w:r w:rsidRPr="00314FA4">
        <w:rPr>
          <w:spacing w:val="-8"/>
          <w:sz w:val="14"/>
        </w:rPr>
        <w:t xml:space="preserve"> </w:t>
      </w:r>
      <w:r w:rsidRPr="00314FA4">
        <w:rPr>
          <w:sz w:val="14"/>
        </w:rPr>
        <w:t>BiH</w:t>
      </w:r>
      <w:r w:rsidRPr="00314FA4">
        <w:rPr>
          <w:spacing w:val="-6"/>
          <w:sz w:val="14"/>
        </w:rPr>
        <w:t xml:space="preserve"> </w:t>
      </w:r>
      <w:r w:rsidRPr="00314FA4">
        <w:rPr>
          <w:sz w:val="14"/>
        </w:rPr>
        <w:t xml:space="preserve">("Službene novine Federacije BiH", br. 22/06, 43/08, 22/09, 35/14 i 94/15). </w:t>
      </w:r>
    </w:p>
    <w:p w:rsidR="00C30931" w:rsidRPr="00314FA4" w:rsidRDefault="0040112E" w:rsidP="0040112E">
      <w:pPr>
        <w:spacing w:after="0" w:line="240" w:lineRule="auto"/>
        <w:jc w:val="both"/>
        <w:rPr>
          <w:rFonts w:ascii="Ebrima" w:eastAsia="Times New Roman" w:hAnsi="Ebrima" w:cs="Times New Roman"/>
          <w:sz w:val="24"/>
          <w:szCs w:val="24"/>
          <w:lang w:val="bs-Latn-BA"/>
        </w:rPr>
      </w:pPr>
      <w:r w:rsidRPr="00314FA4">
        <w:rPr>
          <w:rFonts w:ascii="Ebrima" w:eastAsia="Times New Roman" w:hAnsi="Ebrima" w:cs="Times New Roman"/>
          <w:sz w:val="24"/>
          <w:szCs w:val="24"/>
          <w:lang w:val="bs-Latn-BA"/>
        </w:rPr>
        <w:lastRenderedPageBreak/>
        <w:t>Prihodi od indirektnih p</w:t>
      </w:r>
      <w:r w:rsidR="00C30931" w:rsidRPr="00314FA4">
        <w:rPr>
          <w:rFonts w:ascii="Ebrima" w:eastAsia="Times New Roman" w:hAnsi="Ebrima" w:cs="Times New Roman"/>
          <w:sz w:val="24"/>
          <w:szCs w:val="24"/>
          <w:lang w:val="bs-Latn-BA"/>
        </w:rPr>
        <w:t>oreza koji pripadaju Direkciji</w:t>
      </w:r>
      <w:r w:rsidRPr="00314FA4">
        <w:rPr>
          <w:rFonts w:ascii="Ebrima" w:eastAsia="Times New Roman" w:hAnsi="Ebrima" w:cs="Times New Roman"/>
          <w:sz w:val="24"/>
          <w:szCs w:val="24"/>
          <w:lang w:val="bs-Latn-BA"/>
        </w:rPr>
        <w:t xml:space="preserve"> za ceste raspoređuju se </w:t>
      </w:r>
      <w:r w:rsidR="00F96610" w:rsidRPr="00314FA4">
        <w:rPr>
          <w:rFonts w:ascii="Ebrima" w:eastAsia="Times New Roman" w:hAnsi="Ebrima" w:cs="Times New Roman"/>
          <w:sz w:val="24"/>
          <w:szCs w:val="24"/>
          <w:lang w:val="bs-Latn-BA"/>
        </w:rPr>
        <w:t>kantonu i općinama/gradu u njegovom sastavu u omjeru 58</w:t>
      </w:r>
      <w:r w:rsidR="00C30931" w:rsidRPr="00314FA4">
        <w:rPr>
          <w:rFonts w:ascii="Ebrima" w:eastAsia="Times New Roman" w:hAnsi="Ebrima" w:cs="Times New Roman"/>
          <w:sz w:val="24"/>
          <w:szCs w:val="24"/>
          <w:lang w:val="bs-Latn-BA"/>
        </w:rPr>
        <w:t>%</w:t>
      </w:r>
      <w:r w:rsidR="00A33983" w:rsidRPr="00314FA4">
        <w:rPr>
          <w:rFonts w:ascii="Ebrima" w:eastAsia="Times New Roman" w:hAnsi="Ebrima" w:cs="Times New Roman"/>
          <w:sz w:val="24"/>
          <w:szCs w:val="24"/>
          <w:lang w:val="bs-Latn-BA"/>
        </w:rPr>
        <w:t xml:space="preserve"> </w:t>
      </w:r>
      <w:r w:rsidR="00C30931" w:rsidRPr="00314FA4">
        <w:rPr>
          <w:rFonts w:ascii="Ebrima" w:eastAsia="Times New Roman" w:hAnsi="Ebrima" w:cs="Times New Roman"/>
          <w:sz w:val="24"/>
          <w:szCs w:val="24"/>
          <w:lang w:val="bs-Latn-BA"/>
        </w:rPr>
        <w:t>-</w:t>
      </w:r>
      <w:r w:rsidR="00A33983" w:rsidRPr="00314FA4">
        <w:rPr>
          <w:rFonts w:ascii="Ebrima" w:eastAsia="Times New Roman" w:hAnsi="Ebrima" w:cs="Times New Roman"/>
          <w:sz w:val="24"/>
          <w:szCs w:val="24"/>
          <w:lang w:val="bs-Latn-BA"/>
        </w:rPr>
        <w:t xml:space="preserve"> 42</w:t>
      </w:r>
      <w:r w:rsidR="00F96610" w:rsidRPr="00314FA4">
        <w:rPr>
          <w:rFonts w:ascii="Ebrima" w:eastAsia="Times New Roman" w:hAnsi="Ebrima" w:cs="Times New Roman"/>
          <w:sz w:val="24"/>
          <w:szCs w:val="24"/>
          <w:lang w:val="bs-Latn-BA"/>
        </w:rPr>
        <w:t>%.</w:t>
      </w:r>
      <w:r w:rsidR="00C30931" w:rsidRPr="00314FA4">
        <w:rPr>
          <w:rFonts w:ascii="Ebrima" w:eastAsia="Times New Roman" w:hAnsi="Ebrima" w:cs="Times New Roman"/>
          <w:sz w:val="24"/>
          <w:szCs w:val="24"/>
          <w:lang w:val="bs-Latn-BA"/>
        </w:rPr>
        <w:t xml:space="preserve"> </w:t>
      </w:r>
    </w:p>
    <w:p w:rsidR="00C30931" w:rsidRPr="00314FA4" w:rsidRDefault="00C30931" w:rsidP="0040112E">
      <w:pPr>
        <w:spacing w:after="0" w:line="240" w:lineRule="auto"/>
        <w:jc w:val="both"/>
        <w:rPr>
          <w:rFonts w:ascii="Ebrima" w:eastAsia="Times New Roman" w:hAnsi="Ebrima" w:cs="Times New Roman"/>
          <w:sz w:val="24"/>
          <w:szCs w:val="24"/>
          <w:lang w:val="bs-Latn-BA"/>
        </w:rPr>
      </w:pPr>
      <w:r w:rsidRPr="00314FA4">
        <w:rPr>
          <w:rFonts w:ascii="Ebrima" w:eastAsia="Times New Roman" w:hAnsi="Ebrima" w:cs="Times New Roman"/>
          <w:sz w:val="24"/>
          <w:szCs w:val="24"/>
          <w:lang w:val="bs-Latn-BA"/>
        </w:rPr>
        <w:t xml:space="preserve">Na osnovu procenta raspodjele Kanton-općine/grad u ovim projekcijama prihod od indirektnih poreza koji pripadaju Direkciji za ceste kantona planiran je iznos </w:t>
      </w:r>
      <w:r w:rsidR="00C63018" w:rsidRPr="00314FA4">
        <w:rPr>
          <w:rFonts w:ascii="Ebrima" w:eastAsia="Times New Roman" w:hAnsi="Ebrima" w:cs="Times New Roman"/>
          <w:sz w:val="24"/>
          <w:szCs w:val="24"/>
          <w:lang w:val="bs-Latn-BA"/>
        </w:rPr>
        <w:t xml:space="preserve">od </w:t>
      </w:r>
      <w:r w:rsidR="00CB7BE2" w:rsidRPr="00314FA4">
        <w:rPr>
          <w:rFonts w:ascii="Ebrima" w:eastAsia="Times New Roman" w:hAnsi="Ebrima" w:cs="Times New Roman"/>
          <w:sz w:val="24"/>
          <w:szCs w:val="24"/>
          <w:lang w:val="bs-Latn-BA"/>
        </w:rPr>
        <w:t>591.341 KM u 2024</w:t>
      </w:r>
      <w:r w:rsidRPr="00314FA4">
        <w:rPr>
          <w:rFonts w:ascii="Ebrima" w:eastAsia="Times New Roman" w:hAnsi="Ebrima" w:cs="Times New Roman"/>
          <w:sz w:val="24"/>
          <w:szCs w:val="24"/>
          <w:lang w:val="bs-Latn-BA"/>
        </w:rPr>
        <w:t xml:space="preserve">. </w:t>
      </w:r>
      <w:r w:rsidR="00C63018" w:rsidRPr="00314FA4">
        <w:rPr>
          <w:rFonts w:ascii="Ebrima" w:eastAsia="Times New Roman" w:hAnsi="Ebrima" w:cs="Times New Roman"/>
          <w:sz w:val="24"/>
          <w:szCs w:val="24"/>
          <w:lang w:val="bs-Latn-BA"/>
        </w:rPr>
        <w:t xml:space="preserve">godini, </w:t>
      </w:r>
      <w:r w:rsidR="00CB7BE2" w:rsidRPr="00314FA4">
        <w:rPr>
          <w:rFonts w:ascii="Ebrima" w:eastAsia="Times New Roman" w:hAnsi="Ebrima" w:cs="Times New Roman"/>
          <w:sz w:val="24"/>
          <w:szCs w:val="24"/>
          <w:lang w:val="bs-Latn-BA"/>
        </w:rPr>
        <w:t>642.766 KM u 2025</w:t>
      </w:r>
      <w:r w:rsidR="00A33983" w:rsidRPr="00314FA4">
        <w:rPr>
          <w:rFonts w:ascii="Ebrima" w:eastAsia="Times New Roman" w:hAnsi="Ebrima" w:cs="Times New Roman"/>
          <w:sz w:val="24"/>
          <w:szCs w:val="24"/>
          <w:lang w:val="bs-Latn-BA"/>
        </w:rPr>
        <w:t>. godi</w:t>
      </w:r>
      <w:r w:rsidR="00C63018" w:rsidRPr="00314FA4">
        <w:rPr>
          <w:rFonts w:ascii="Ebrima" w:eastAsia="Times New Roman" w:hAnsi="Ebrima" w:cs="Times New Roman"/>
          <w:sz w:val="24"/>
          <w:szCs w:val="24"/>
          <w:lang w:val="bs-Latn-BA"/>
        </w:rPr>
        <w:t>ni</w:t>
      </w:r>
      <w:r w:rsidR="00FE4A17" w:rsidRPr="00314FA4">
        <w:rPr>
          <w:rFonts w:ascii="Ebrima" w:eastAsia="Times New Roman" w:hAnsi="Ebrima" w:cs="Times New Roman"/>
          <w:sz w:val="24"/>
          <w:szCs w:val="24"/>
          <w:lang w:val="bs-Latn-BA"/>
        </w:rPr>
        <w:t>,</w:t>
      </w:r>
      <w:r w:rsidR="00C63018" w:rsidRPr="00314FA4">
        <w:rPr>
          <w:rFonts w:ascii="Ebrima" w:eastAsia="Times New Roman" w:hAnsi="Ebrima" w:cs="Times New Roman"/>
          <w:sz w:val="24"/>
          <w:szCs w:val="24"/>
          <w:lang w:val="bs-Latn-BA"/>
        </w:rPr>
        <w:t xml:space="preserve"> te </w:t>
      </w:r>
      <w:r w:rsidR="00CB7BE2" w:rsidRPr="00314FA4">
        <w:rPr>
          <w:rFonts w:ascii="Ebrima" w:eastAsia="Times New Roman" w:hAnsi="Ebrima" w:cs="Times New Roman"/>
          <w:sz w:val="24"/>
          <w:szCs w:val="24"/>
          <w:lang w:val="bs-Latn-BA"/>
        </w:rPr>
        <w:t>694.187 KM u 2026</w:t>
      </w:r>
      <w:r w:rsidR="00C63018" w:rsidRPr="00314FA4">
        <w:rPr>
          <w:rFonts w:ascii="Ebrima" w:eastAsia="Times New Roman" w:hAnsi="Ebrima" w:cs="Times New Roman"/>
          <w:sz w:val="24"/>
          <w:szCs w:val="24"/>
          <w:lang w:val="bs-Latn-BA"/>
        </w:rPr>
        <w:t>.</w:t>
      </w:r>
      <w:r w:rsidRPr="00314FA4">
        <w:rPr>
          <w:rFonts w:ascii="Ebrima" w:eastAsia="Times New Roman" w:hAnsi="Ebrima" w:cs="Times New Roman"/>
          <w:sz w:val="24"/>
          <w:szCs w:val="24"/>
          <w:lang w:val="bs-Latn-BA"/>
        </w:rPr>
        <w:t xml:space="preserve"> godini.</w:t>
      </w:r>
    </w:p>
    <w:p w:rsidR="00352429" w:rsidRPr="00314FA4" w:rsidRDefault="00352429" w:rsidP="0040112E">
      <w:pPr>
        <w:spacing w:after="0" w:line="0" w:lineRule="atLeast"/>
        <w:jc w:val="both"/>
        <w:rPr>
          <w:rFonts w:ascii="Ebrima" w:eastAsia="Times New Roman" w:hAnsi="Ebrima" w:cs="Times New Roman"/>
          <w:b/>
          <w:bCs/>
          <w:iCs/>
          <w:sz w:val="24"/>
          <w:szCs w:val="24"/>
          <w:lang w:val="bs-Latn-BA"/>
        </w:rPr>
      </w:pPr>
    </w:p>
    <w:p w:rsidR="0040112E" w:rsidRPr="00314FA4" w:rsidRDefault="0040112E" w:rsidP="0040112E">
      <w:pPr>
        <w:spacing w:after="0" w:line="0" w:lineRule="atLeast"/>
        <w:jc w:val="both"/>
        <w:rPr>
          <w:rFonts w:ascii="Ebrima" w:eastAsia="Times New Roman" w:hAnsi="Ebrima" w:cs="Times New Roman"/>
          <w:b/>
          <w:bCs/>
          <w:iCs/>
          <w:sz w:val="24"/>
          <w:szCs w:val="24"/>
          <w:lang w:val="bs-Latn-BA"/>
        </w:rPr>
      </w:pPr>
      <w:r w:rsidRPr="00314FA4">
        <w:rPr>
          <w:rFonts w:ascii="Ebrima" w:eastAsia="Times New Roman" w:hAnsi="Ebrima" w:cs="Times New Roman"/>
          <w:b/>
          <w:bCs/>
          <w:iCs/>
          <w:sz w:val="24"/>
          <w:szCs w:val="24"/>
          <w:lang w:val="bs-Latn-BA"/>
        </w:rPr>
        <w:t>Porez na dobit</w:t>
      </w:r>
    </w:p>
    <w:p w:rsidR="0040112E" w:rsidRPr="00314FA4" w:rsidRDefault="0040112E" w:rsidP="0040112E">
      <w:pPr>
        <w:spacing w:after="0" w:line="0" w:lineRule="atLeast"/>
        <w:jc w:val="both"/>
        <w:rPr>
          <w:rFonts w:ascii="Ebrima" w:eastAsia="Times New Roman" w:hAnsi="Ebrima" w:cs="Times New Roman"/>
          <w:bCs/>
          <w:iCs/>
          <w:sz w:val="24"/>
          <w:szCs w:val="24"/>
          <w:lang w:val="bs-Latn-BA"/>
        </w:rPr>
      </w:pPr>
      <w:r w:rsidRPr="00314FA4">
        <w:rPr>
          <w:rFonts w:ascii="Ebrima" w:eastAsia="Times New Roman" w:hAnsi="Ebrima" w:cs="Times New Roman"/>
          <w:bCs/>
          <w:iCs/>
          <w:sz w:val="24"/>
          <w:szCs w:val="24"/>
          <w:lang w:val="bs-Latn-BA"/>
        </w:rPr>
        <w:t xml:space="preserve">Porez  na dobit preduzeća </w:t>
      </w:r>
      <w:r w:rsidR="00C30931" w:rsidRPr="00314FA4">
        <w:rPr>
          <w:rFonts w:ascii="Ebrima" w:eastAsia="Times New Roman" w:hAnsi="Ebrima" w:cs="Times New Roman"/>
          <w:bCs/>
          <w:iCs/>
          <w:sz w:val="24"/>
          <w:szCs w:val="24"/>
          <w:lang w:val="bs-Latn-BA"/>
        </w:rPr>
        <w:t xml:space="preserve">ne </w:t>
      </w:r>
      <w:r w:rsidRPr="00314FA4">
        <w:rPr>
          <w:rFonts w:ascii="Ebrima" w:eastAsia="Times New Roman" w:hAnsi="Ebrima" w:cs="Times New Roman"/>
          <w:bCs/>
          <w:iCs/>
          <w:sz w:val="24"/>
          <w:szCs w:val="24"/>
          <w:lang w:val="bs-Latn-BA"/>
        </w:rPr>
        <w:t>predstavlja u cijelosti prihod Kantona, međutim, Bosansko-podrinjski kanton Goražde u skladu sa Zakonom  o pripadnosti javnih prihoda u BPK-a Goražde i finansiranju BPK-a Goražde</w:t>
      </w:r>
      <w:r w:rsidR="00707F94">
        <w:rPr>
          <w:rFonts w:ascii="Ebrima" w:eastAsia="Times New Roman" w:hAnsi="Ebrima" w:cs="Times New Roman"/>
          <w:bCs/>
          <w:iCs/>
          <w:sz w:val="24"/>
          <w:szCs w:val="24"/>
          <w:lang w:val="bs-Latn-BA"/>
        </w:rPr>
        <w:t xml:space="preserve"> </w:t>
      </w:r>
      <w:r w:rsidR="00707F94" w:rsidRPr="00707F94">
        <w:rPr>
          <w:rFonts w:ascii="Cambria" w:hAnsi="Cambria"/>
          <w:sz w:val="24"/>
          <w:szCs w:val="24"/>
        </w:rPr>
        <w:t>(„Sl.novine u BPK Goražde“ br:  6/10 i 13/17)</w:t>
      </w:r>
      <w:r w:rsidRPr="00314FA4">
        <w:rPr>
          <w:rFonts w:ascii="Ebrima" w:eastAsia="Times New Roman" w:hAnsi="Ebrima" w:cs="Times New Roman"/>
          <w:bCs/>
          <w:iCs/>
          <w:sz w:val="24"/>
          <w:szCs w:val="24"/>
          <w:lang w:val="bs-Latn-BA"/>
        </w:rPr>
        <w:t xml:space="preserve"> </w:t>
      </w:r>
      <w:r w:rsidR="00C30931" w:rsidRPr="00314FA4">
        <w:rPr>
          <w:rFonts w:ascii="Ebrima" w:eastAsia="Times New Roman" w:hAnsi="Ebrima" w:cs="Times New Roman"/>
          <w:bCs/>
          <w:iCs/>
          <w:sz w:val="24"/>
          <w:szCs w:val="24"/>
          <w:lang w:val="bs-Latn-BA"/>
        </w:rPr>
        <w:t xml:space="preserve">isti </w:t>
      </w:r>
      <w:r w:rsidRPr="00314FA4">
        <w:rPr>
          <w:rFonts w:ascii="Ebrima" w:eastAsia="Times New Roman" w:hAnsi="Ebrima" w:cs="Times New Roman"/>
          <w:bCs/>
          <w:iCs/>
          <w:sz w:val="24"/>
          <w:szCs w:val="24"/>
          <w:lang w:val="bs-Latn-BA"/>
        </w:rPr>
        <w:t>prihod djeli sa općinama</w:t>
      </w:r>
      <w:r w:rsidR="00FE4A17" w:rsidRPr="00314FA4">
        <w:rPr>
          <w:rFonts w:ascii="Ebrima" w:eastAsia="Times New Roman" w:hAnsi="Ebrima" w:cs="Times New Roman"/>
          <w:bCs/>
          <w:iCs/>
          <w:sz w:val="24"/>
          <w:szCs w:val="24"/>
          <w:lang w:val="bs-Latn-BA"/>
        </w:rPr>
        <w:t>/G</w:t>
      </w:r>
      <w:r w:rsidR="00C30931" w:rsidRPr="00314FA4">
        <w:rPr>
          <w:rFonts w:ascii="Ebrima" w:eastAsia="Times New Roman" w:hAnsi="Ebrima" w:cs="Times New Roman"/>
          <w:bCs/>
          <w:iCs/>
          <w:sz w:val="24"/>
          <w:szCs w:val="24"/>
          <w:lang w:val="bs-Latn-BA"/>
        </w:rPr>
        <w:t>radom</w:t>
      </w:r>
      <w:r w:rsidRPr="00314FA4">
        <w:rPr>
          <w:rFonts w:ascii="Ebrima" w:eastAsia="Times New Roman" w:hAnsi="Ebrima" w:cs="Times New Roman"/>
          <w:bCs/>
          <w:iCs/>
          <w:sz w:val="24"/>
          <w:szCs w:val="24"/>
          <w:lang w:val="bs-Latn-BA"/>
        </w:rPr>
        <w:t xml:space="preserve"> u omjeru 70% - 30%. </w:t>
      </w:r>
    </w:p>
    <w:p w:rsidR="0040112E" w:rsidRPr="00314FA4" w:rsidRDefault="000444F6" w:rsidP="0040112E">
      <w:pPr>
        <w:spacing w:after="0" w:line="0" w:lineRule="atLeast"/>
        <w:jc w:val="both"/>
        <w:rPr>
          <w:rFonts w:ascii="Ebrima" w:eastAsia="Times New Roman" w:hAnsi="Ebrima" w:cs="Times New Roman"/>
          <w:bCs/>
          <w:iCs/>
          <w:sz w:val="24"/>
          <w:szCs w:val="24"/>
          <w:lang w:val="bs-Latn-BA"/>
        </w:rPr>
      </w:pPr>
      <w:r w:rsidRPr="00314FA4">
        <w:rPr>
          <w:rFonts w:ascii="Ebrima" w:eastAsia="Times New Roman" w:hAnsi="Ebrima" w:cs="Times New Roman"/>
          <w:bCs/>
          <w:iCs/>
          <w:sz w:val="24"/>
          <w:szCs w:val="24"/>
          <w:lang w:val="bs-Latn-BA"/>
        </w:rPr>
        <w:t xml:space="preserve">Po projekciji Federalnog ministarstva finansija </w:t>
      </w:r>
      <w:r w:rsidR="0040112E" w:rsidRPr="00314FA4">
        <w:rPr>
          <w:rFonts w:ascii="Ebrima" w:eastAsia="Times New Roman" w:hAnsi="Ebrima" w:cs="Times New Roman"/>
          <w:bCs/>
          <w:iCs/>
          <w:sz w:val="24"/>
          <w:szCs w:val="24"/>
          <w:lang w:val="bs-Latn-BA"/>
        </w:rPr>
        <w:t xml:space="preserve">prihodi od poreza na dobit </w:t>
      </w:r>
      <w:r w:rsidR="00707F94">
        <w:rPr>
          <w:rFonts w:ascii="Ebrima" w:eastAsia="Times New Roman" w:hAnsi="Ebrima" w:cs="Times New Roman"/>
          <w:bCs/>
          <w:iCs/>
          <w:sz w:val="24"/>
          <w:szCs w:val="24"/>
          <w:lang w:val="bs-Latn-BA"/>
        </w:rPr>
        <w:t>BPK</w:t>
      </w:r>
      <w:r w:rsidRPr="00314FA4">
        <w:rPr>
          <w:rFonts w:ascii="Ebrima" w:eastAsia="Times New Roman" w:hAnsi="Ebrima" w:cs="Times New Roman"/>
          <w:bCs/>
          <w:iCs/>
          <w:sz w:val="24"/>
          <w:szCs w:val="24"/>
          <w:lang w:val="bs-Latn-BA"/>
        </w:rPr>
        <w:t>-a Goražde</w:t>
      </w:r>
      <w:r w:rsidR="0040112E" w:rsidRPr="00314FA4">
        <w:rPr>
          <w:rFonts w:ascii="Ebrima" w:eastAsia="Times New Roman" w:hAnsi="Ebrima" w:cs="Times New Roman"/>
          <w:bCs/>
          <w:iCs/>
          <w:sz w:val="24"/>
          <w:szCs w:val="24"/>
          <w:lang w:val="bs-Latn-BA"/>
        </w:rPr>
        <w:t xml:space="preserve"> po godinama </w:t>
      </w:r>
      <w:r w:rsidRPr="00314FA4">
        <w:rPr>
          <w:rFonts w:ascii="Ebrima" w:eastAsia="Times New Roman" w:hAnsi="Ebrima" w:cs="Times New Roman"/>
          <w:bCs/>
          <w:iCs/>
          <w:sz w:val="24"/>
          <w:szCs w:val="24"/>
          <w:lang w:val="bs-Latn-BA"/>
        </w:rPr>
        <w:t>će</w:t>
      </w:r>
      <w:r w:rsidR="0040112E" w:rsidRPr="00314FA4">
        <w:rPr>
          <w:rFonts w:ascii="Ebrima" w:eastAsia="Times New Roman" w:hAnsi="Ebrima" w:cs="Times New Roman"/>
          <w:bCs/>
          <w:iCs/>
          <w:sz w:val="24"/>
          <w:szCs w:val="24"/>
          <w:lang w:val="bs-Latn-BA"/>
        </w:rPr>
        <w:t xml:space="preserve"> se kretali kako slijedi: </w:t>
      </w:r>
    </w:p>
    <w:tbl>
      <w:tblPr>
        <w:tblW w:w="10812" w:type="dxa"/>
        <w:tblLook w:val="04A0" w:firstRow="1" w:lastRow="0" w:firstColumn="1" w:lastColumn="0" w:noHBand="0" w:noVBand="1"/>
      </w:tblPr>
      <w:tblGrid>
        <w:gridCol w:w="3968"/>
        <w:gridCol w:w="1194"/>
        <w:gridCol w:w="1194"/>
        <w:gridCol w:w="1194"/>
        <w:gridCol w:w="1200"/>
        <w:gridCol w:w="255"/>
        <w:gridCol w:w="1807"/>
      </w:tblGrid>
      <w:tr w:rsidR="00314FA4" w:rsidRPr="00314FA4" w:rsidTr="006206AD">
        <w:trPr>
          <w:trHeight w:val="219"/>
        </w:trPr>
        <w:tc>
          <w:tcPr>
            <w:tcW w:w="10812" w:type="dxa"/>
            <w:gridSpan w:val="7"/>
            <w:tcBorders>
              <w:top w:val="nil"/>
              <w:left w:val="nil"/>
              <w:bottom w:val="nil"/>
              <w:right w:val="nil"/>
            </w:tcBorders>
            <w:shd w:val="clear" w:color="auto" w:fill="auto"/>
            <w:noWrap/>
            <w:hideMark/>
          </w:tcPr>
          <w:p w:rsidR="009F11C1" w:rsidRPr="00314FA4" w:rsidRDefault="0040112E" w:rsidP="009F11C1">
            <w:pPr>
              <w:spacing w:after="0" w:line="240" w:lineRule="auto"/>
              <w:jc w:val="center"/>
              <w:rPr>
                <w:rFonts w:ascii="Arial" w:eastAsia="Times New Roman" w:hAnsi="Arial" w:cs="Arial"/>
                <w:b/>
                <w:bCs/>
                <w:sz w:val="16"/>
                <w:szCs w:val="16"/>
                <w:u w:val="single"/>
              </w:rPr>
            </w:pPr>
            <w:r w:rsidRPr="00314FA4">
              <w:rPr>
                <w:rFonts w:ascii="Times New Roman" w:eastAsia="Times New Roman" w:hAnsi="Times New Roman" w:cs="Times New Roman"/>
                <w:bCs/>
                <w:iCs/>
                <w:sz w:val="24"/>
                <w:szCs w:val="24"/>
                <w:lang w:val="bs-Latn-BA"/>
              </w:rPr>
              <w:t xml:space="preserve"> </w:t>
            </w:r>
            <w:r w:rsidR="009F11C1" w:rsidRPr="00314FA4">
              <w:rPr>
                <w:rFonts w:ascii="Arial" w:eastAsia="Times New Roman" w:hAnsi="Arial" w:cs="Arial"/>
                <w:b/>
                <w:bCs/>
                <w:sz w:val="16"/>
                <w:szCs w:val="16"/>
                <w:u w:val="single"/>
              </w:rPr>
              <w:t>Prihodi od poreza na dobit</w:t>
            </w:r>
          </w:p>
        </w:tc>
      </w:tr>
      <w:tr w:rsidR="00314FA4" w:rsidRPr="00314FA4" w:rsidTr="006206AD">
        <w:trPr>
          <w:trHeight w:val="193"/>
        </w:trPr>
        <w:tc>
          <w:tcPr>
            <w:tcW w:w="10812" w:type="dxa"/>
            <w:gridSpan w:val="7"/>
            <w:tcBorders>
              <w:top w:val="nil"/>
              <w:left w:val="nil"/>
              <w:bottom w:val="nil"/>
              <w:right w:val="nil"/>
            </w:tcBorders>
            <w:shd w:val="clear" w:color="auto" w:fill="auto"/>
            <w:noWrap/>
            <w:hideMark/>
          </w:tcPr>
          <w:p w:rsidR="009F11C1" w:rsidRPr="00314FA4" w:rsidRDefault="009F11C1" w:rsidP="00025F8E">
            <w:pPr>
              <w:spacing w:after="0" w:line="240" w:lineRule="auto"/>
              <w:jc w:val="center"/>
              <w:rPr>
                <w:rFonts w:ascii="Arial" w:eastAsia="Times New Roman" w:hAnsi="Arial" w:cs="Arial"/>
                <w:b/>
                <w:bCs/>
                <w:i/>
                <w:iCs/>
                <w:sz w:val="14"/>
                <w:szCs w:val="14"/>
              </w:rPr>
            </w:pPr>
            <w:r w:rsidRPr="00314FA4">
              <w:rPr>
                <w:rFonts w:ascii="Arial" w:eastAsia="Times New Roman" w:hAnsi="Arial" w:cs="Arial"/>
                <w:b/>
                <w:bCs/>
                <w:i/>
                <w:iCs/>
                <w:sz w:val="14"/>
                <w:szCs w:val="14"/>
              </w:rPr>
              <w:t>u KM</w:t>
            </w:r>
          </w:p>
        </w:tc>
      </w:tr>
      <w:tr w:rsidR="00196CB6" w:rsidRPr="00314FA4" w:rsidTr="006206AD">
        <w:trPr>
          <w:gridAfter w:val="1"/>
          <w:wAfter w:w="1807" w:type="dxa"/>
          <w:trHeight w:val="350"/>
        </w:trPr>
        <w:tc>
          <w:tcPr>
            <w:tcW w:w="39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9454F" w:rsidRPr="00314FA4" w:rsidRDefault="00E9454F" w:rsidP="009F11C1">
            <w:pPr>
              <w:spacing w:after="0" w:line="240" w:lineRule="auto"/>
              <w:rPr>
                <w:rFonts w:ascii="Arial" w:eastAsia="Times New Roman" w:hAnsi="Arial" w:cs="Arial"/>
                <w:b/>
                <w:bCs/>
                <w:sz w:val="16"/>
                <w:szCs w:val="16"/>
              </w:rPr>
            </w:pPr>
            <w:r w:rsidRPr="00314FA4">
              <w:rPr>
                <w:rFonts w:ascii="Arial" w:eastAsia="Times New Roman" w:hAnsi="Arial" w:cs="Arial"/>
                <w:b/>
                <w:bCs/>
                <w:sz w:val="16"/>
                <w:szCs w:val="16"/>
              </w:rPr>
              <w:t>VRSTA PRIHODA</w:t>
            </w:r>
          </w:p>
        </w:tc>
        <w:tc>
          <w:tcPr>
            <w:tcW w:w="4782" w:type="dxa"/>
            <w:gridSpan w:val="4"/>
            <w:tcBorders>
              <w:top w:val="single" w:sz="4" w:space="0" w:color="000000"/>
              <w:left w:val="nil"/>
              <w:bottom w:val="single" w:sz="4" w:space="0" w:color="000000"/>
              <w:right w:val="single" w:sz="4" w:space="0" w:color="000000"/>
            </w:tcBorders>
            <w:shd w:val="clear" w:color="000000" w:fill="FFC000"/>
            <w:noWrap/>
            <w:hideMark/>
          </w:tcPr>
          <w:p w:rsidR="00E9454F" w:rsidRPr="00314FA4" w:rsidRDefault="00E9454F" w:rsidP="009F11C1">
            <w:pPr>
              <w:spacing w:after="0" w:line="240" w:lineRule="auto"/>
              <w:jc w:val="center"/>
              <w:rPr>
                <w:rFonts w:ascii="Arial" w:eastAsia="Times New Roman" w:hAnsi="Arial" w:cs="Arial"/>
                <w:b/>
                <w:bCs/>
                <w:sz w:val="16"/>
                <w:szCs w:val="16"/>
              </w:rPr>
            </w:pPr>
            <w:r w:rsidRPr="00314FA4">
              <w:rPr>
                <w:rFonts w:ascii="Arial" w:eastAsia="Times New Roman" w:hAnsi="Arial" w:cs="Arial"/>
                <w:b/>
                <w:bCs/>
                <w:sz w:val="16"/>
                <w:szCs w:val="16"/>
              </w:rPr>
              <w:t>PROJEKCIJA</w:t>
            </w:r>
          </w:p>
        </w:tc>
        <w:tc>
          <w:tcPr>
            <w:tcW w:w="255" w:type="dxa"/>
            <w:tcBorders>
              <w:top w:val="nil"/>
              <w:left w:val="nil"/>
              <w:bottom w:val="nil"/>
              <w:right w:val="nil"/>
            </w:tcBorders>
            <w:shd w:val="clear" w:color="auto" w:fill="auto"/>
            <w:noWrap/>
            <w:vAlign w:val="bottom"/>
            <w:hideMark/>
          </w:tcPr>
          <w:p w:rsidR="00E9454F" w:rsidRPr="00314FA4" w:rsidRDefault="00E9454F" w:rsidP="009F11C1">
            <w:pPr>
              <w:spacing w:after="0" w:line="240" w:lineRule="auto"/>
              <w:jc w:val="center"/>
              <w:rPr>
                <w:rFonts w:ascii="Arial" w:eastAsia="Times New Roman" w:hAnsi="Arial" w:cs="Arial"/>
                <w:b/>
                <w:bCs/>
                <w:sz w:val="16"/>
                <w:szCs w:val="16"/>
              </w:rPr>
            </w:pPr>
          </w:p>
        </w:tc>
      </w:tr>
      <w:tr w:rsidR="00314FA4" w:rsidRPr="00314FA4" w:rsidTr="00835DD7">
        <w:trPr>
          <w:gridAfter w:val="1"/>
          <w:wAfter w:w="1807" w:type="dxa"/>
          <w:trHeight w:val="317"/>
        </w:trPr>
        <w:tc>
          <w:tcPr>
            <w:tcW w:w="3968" w:type="dxa"/>
            <w:vMerge/>
            <w:tcBorders>
              <w:top w:val="single" w:sz="4" w:space="0" w:color="000000"/>
              <w:left w:val="single" w:sz="4" w:space="0" w:color="000000"/>
              <w:bottom w:val="single" w:sz="4" w:space="0" w:color="000000"/>
              <w:right w:val="single" w:sz="4" w:space="0" w:color="000000"/>
            </w:tcBorders>
            <w:vAlign w:val="center"/>
            <w:hideMark/>
          </w:tcPr>
          <w:p w:rsidR="00E9454F" w:rsidRPr="00314FA4" w:rsidRDefault="00E9454F" w:rsidP="009F11C1">
            <w:pPr>
              <w:spacing w:after="0" w:line="240" w:lineRule="auto"/>
              <w:rPr>
                <w:rFonts w:ascii="Arial" w:eastAsia="Times New Roman" w:hAnsi="Arial" w:cs="Arial"/>
                <w:b/>
                <w:bCs/>
                <w:sz w:val="16"/>
                <w:szCs w:val="16"/>
              </w:rPr>
            </w:pPr>
          </w:p>
        </w:tc>
        <w:tc>
          <w:tcPr>
            <w:tcW w:w="1194" w:type="dxa"/>
            <w:tcBorders>
              <w:top w:val="nil"/>
              <w:left w:val="nil"/>
              <w:bottom w:val="single" w:sz="4" w:space="0" w:color="000000"/>
              <w:right w:val="single" w:sz="4" w:space="0" w:color="000000"/>
            </w:tcBorders>
            <w:shd w:val="clear" w:color="auto" w:fill="auto"/>
            <w:noWrap/>
            <w:hideMark/>
          </w:tcPr>
          <w:p w:rsidR="00E9454F" w:rsidRPr="00314FA4" w:rsidRDefault="00352429" w:rsidP="009F11C1">
            <w:pPr>
              <w:spacing w:after="0" w:line="240" w:lineRule="auto"/>
              <w:jc w:val="center"/>
              <w:rPr>
                <w:rFonts w:ascii="Arial" w:eastAsia="Times New Roman" w:hAnsi="Arial" w:cs="Arial"/>
                <w:b/>
                <w:bCs/>
                <w:sz w:val="16"/>
                <w:szCs w:val="16"/>
              </w:rPr>
            </w:pPr>
            <w:r w:rsidRPr="00314FA4">
              <w:rPr>
                <w:rFonts w:ascii="Arial" w:eastAsia="Times New Roman" w:hAnsi="Arial" w:cs="Arial"/>
                <w:b/>
                <w:bCs/>
                <w:sz w:val="16"/>
                <w:szCs w:val="16"/>
              </w:rPr>
              <w:t>2022</w:t>
            </w:r>
          </w:p>
        </w:tc>
        <w:tc>
          <w:tcPr>
            <w:tcW w:w="1194" w:type="dxa"/>
            <w:tcBorders>
              <w:top w:val="nil"/>
              <w:left w:val="nil"/>
              <w:bottom w:val="single" w:sz="4" w:space="0" w:color="000000"/>
              <w:right w:val="single" w:sz="4" w:space="0" w:color="000000"/>
            </w:tcBorders>
            <w:shd w:val="clear" w:color="auto" w:fill="auto"/>
            <w:noWrap/>
            <w:hideMark/>
          </w:tcPr>
          <w:p w:rsidR="00E9454F" w:rsidRPr="00314FA4" w:rsidRDefault="00352429" w:rsidP="009F11C1">
            <w:pPr>
              <w:spacing w:after="0" w:line="240" w:lineRule="auto"/>
              <w:jc w:val="center"/>
              <w:rPr>
                <w:rFonts w:ascii="Arial" w:eastAsia="Times New Roman" w:hAnsi="Arial" w:cs="Arial"/>
                <w:b/>
                <w:bCs/>
                <w:sz w:val="16"/>
                <w:szCs w:val="16"/>
              </w:rPr>
            </w:pPr>
            <w:r w:rsidRPr="00314FA4">
              <w:rPr>
                <w:rFonts w:ascii="Arial" w:eastAsia="Times New Roman" w:hAnsi="Arial" w:cs="Arial"/>
                <w:b/>
                <w:bCs/>
                <w:sz w:val="16"/>
                <w:szCs w:val="16"/>
              </w:rPr>
              <w:t>2023</w:t>
            </w:r>
          </w:p>
        </w:tc>
        <w:tc>
          <w:tcPr>
            <w:tcW w:w="1194" w:type="dxa"/>
            <w:tcBorders>
              <w:top w:val="nil"/>
              <w:left w:val="nil"/>
              <w:bottom w:val="single" w:sz="4" w:space="0" w:color="000000"/>
              <w:right w:val="single" w:sz="4" w:space="0" w:color="000000"/>
            </w:tcBorders>
            <w:shd w:val="clear" w:color="auto" w:fill="auto"/>
            <w:noWrap/>
            <w:hideMark/>
          </w:tcPr>
          <w:p w:rsidR="00E9454F" w:rsidRPr="00314FA4" w:rsidRDefault="00352429" w:rsidP="009F11C1">
            <w:pPr>
              <w:spacing w:after="0" w:line="240" w:lineRule="auto"/>
              <w:jc w:val="center"/>
              <w:rPr>
                <w:rFonts w:ascii="Arial" w:eastAsia="Times New Roman" w:hAnsi="Arial" w:cs="Arial"/>
                <w:b/>
                <w:bCs/>
                <w:sz w:val="16"/>
                <w:szCs w:val="16"/>
              </w:rPr>
            </w:pPr>
            <w:r w:rsidRPr="00314FA4">
              <w:rPr>
                <w:rFonts w:ascii="Arial" w:eastAsia="Times New Roman" w:hAnsi="Arial" w:cs="Arial"/>
                <w:b/>
                <w:bCs/>
                <w:sz w:val="16"/>
                <w:szCs w:val="16"/>
              </w:rPr>
              <w:t>2024</w:t>
            </w:r>
          </w:p>
        </w:tc>
        <w:tc>
          <w:tcPr>
            <w:tcW w:w="1200" w:type="dxa"/>
            <w:tcBorders>
              <w:top w:val="nil"/>
              <w:left w:val="nil"/>
              <w:bottom w:val="single" w:sz="4" w:space="0" w:color="000000"/>
              <w:right w:val="single" w:sz="4" w:space="0" w:color="000000"/>
            </w:tcBorders>
            <w:shd w:val="clear" w:color="auto" w:fill="auto"/>
            <w:noWrap/>
            <w:hideMark/>
          </w:tcPr>
          <w:p w:rsidR="00E9454F" w:rsidRPr="00314FA4" w:rsidRDefault="00352429" w:rsidP="009F11C1">
            <w:pPr>
              <w:spacing w:after="0" w:line="240" w:lineRule="auto"/>
              <w:jc w:val="center"/>
              <w:rPr>
                <w:rFonts w:ascii="Arial" w:eastAsia="Times New Roman" w:hAnsi="Arial" w:cs="Arial"/>
                <w:b/>
                <w:bCs/>
                <w:sz w:val="16"/>
                <w:szCs w:val="16"/>
              </w:rPr>
            </w:pPr>
            <w:r w:rsidRPr="00314FA4">
              <w:rPr>
                <w:rFonts w:ascii="Arial" w:eastAsia="Times New Roman" w:hAnsi="Arial" w:cs="Arial"/>
                <w:b/>
                <w:bCs/>
                <w:sz w:val="16"/>
                <w:szCs w:val="16"/>
              </w:rPr>
              <w:t>2025</w:t>
            </w:r>
          </w:p>
        </w:tc>
        <w:tc>
          <w:tcPr>
            <w:tcW w:w="255" w:type="dxa"/>
            <w:tcBorders>
              <w:top w:val="nil"/>
              <w:left w:val="nil"/>
              <w:bottom w:val="nil"/>
              <w:right w:val="nil"/>
            </w:tcBorders>
            <w:shd w:val="clear" w:color="auto" w:fill="auto"/>
            <w:noWrap/>
            <w:vAlign w:val="bottom"/>
            <w:hideMark/>
          </w:tcPr>
          <w:p w:rsidR="00E9454F" w:rsidRPr="00314FA4" w:rsidRDefault="00E9454F" w:rsidP="009F11C1">
            <w:pPr>
              <w:spacing w:after="0" w:line="240" w:lineRule="auto"/>
              <w:jc w:val="center"/>
              <w:rPr>
                <w:rFonts w:ascii="Arial" w:eastAsia="Times New Roman" w:hAnsi="Arial" w:cs="Arial"/>
                <w:b/>
                <w:bCs/>
                <w:sz w:val="16"/>
                <w:szCs w:val="16"/>
              </w:rPr>
            </w:pPr>
          </w:p>
        </w:tc>
      </w:tr>
      <w:tr w:rsidR="00314FA4" w:rsidRPr="00314FA4" w:rsidTr="00835DD7">
        <w:trPr>
          <w:gridAfter w:val="1"/>
          <w:wAfter w:w="1807" w:type="dxa"/>
          <w:trHeight w:val="354"/>
        </w:trPr>
        <w:tc>
          <w:tcPr>
            <w:tcW w:w="3968" w:type="dxa"/>
            <w:tcBorders>
              <w:top w:val="nil"/>
              <w:left w:val="single" w:sz="4" w:space="0" w:color="000000"/>
              <w:bottom w:val="single" w:sz="4" w:space="0" w:color="000000"/>
              <w:right w:val="single" w:sz="4" w:space="0" w:color="000000"/>
            </w:tcBorders>
            <w:shd w:val="clear" w:color="auto" w:fill="auto"/>
            <w:noWrap/>
            <w:hideMark/>
          </w:tcPr>
          <w:p w:rsidR="00E9454F" w:rsidRPr="00314FA4" w:rsidRDefault="00E9454F" w:rsidP="009F11C1">
            <w:pPr>
              <w:spacing w:after="0" w:line="240" w:lineRule="auto"/>
              <w:rPr>
                <w:rFonts w:ascii="Arial" w:eastAsia="Times New Roman" w:hAnsi="Arial" w:cs="Arial"/>
                <w:b/>
                <w:bCs/>
                <w:sz w:val="16"/>
                <w:szCs w:val="16"/>
              </w:rPr>
            </w:pPr>
            <w:r w:rsidRPr="00314FA4">
              <w:rPr>
                <w:rFonts w:ascii="Arial" w:eastAsia="Times New Roman" w:hAnsi="Arial" w:cs="Arial"/>
                <w:b/>
                <w:bCs/>
                <w:sz w:val="16"/>
                <w:szCs w:val="16"/>
              </w:rPr>
              <w:t>1. Porez na dobit</w:t>
            </w:r>
          </w:p>
        </w:tc>
        <w:tc>
          <w:tcPr>
            <w:tcW w:w="1194" w:type="dxa"/>
            <w:tcBorders>
              <w:top w:val="nil"/>
              <w:left w:val="nil"/>
              <w:bottom w:val="single" w:sz="4" w:space="0" w:color="000000"/>
              <w:right w:val="single" w:sz="4" w:space="0" w:color="000000"/>
            </w:tcBorders>
            <w:shd w:val="clear" w:color="auto" w:fill="auto"/>
            <w:noWrap/>
            <w:hideMark/>
          </w:tcPr>
          <w:p w:rsidR="00E9454F" w:rsidRPr="00314FA4" w:rsidRDefault="00352429" w:rsidP="009F11C1">
            <w:pPr>
              <w:spacing w:after="0" w:line="240" w:lineRule="auto"/>
              <w:jc w:val="right"/>
              <w:rPr>
                <w:rFonts w:ascii="Arial" w:eastAsia="Times New Roman" w:hAnsi="Arial" w:cs="Arial"/>
                <w:b/>
                <w:bCs/>
                <w:sz w:val="16"/>
                <w:szCs w:val="16"/>
              </w:rPr>
            </w:pPr>
            <w:r w:rsidRPr="00314FA4">
              <w:rPr>
                <w:rFonts w:ascii="Arial" w:eastAsia="Times New Roman" w:hAnsi="Arial" w:cs="Arial"/>
                <w:b/>
                <w:bCs/>
                <w:sz w:val="16"/>
                <w:szCs w:val="16"/>
              </w:rPr>
              <w:t>2,269,046</w:t>
            </w:r>
          </w:p>
        </w:tc>
        <w:tc>
          <w:tcPr>
            <w:tcW w:w="1194" w:type="dxa"/>
            <w:tcBorders>
              <w:top w:val="nil"/>
              <w:left w:val="nil"/>
              <w:bottom w:val="single" w:sz="4" w:space="0" w:color="000000"/>
              <w:right w:val="single" w:sz="4" w:space="0" w:color="000000"/>
            </w:tcBorders>
            <w:shd w:val="clear" w:color="auto" w:fill="auto"/>
            <w:noWrap/>
            <w:hideMark/>
          </w:tcPr>
          <w:p w:rsidR="00E9454F" w:rsidRPr="00314FA4" w:rsidRDefault="00352429" w:rsidP="009F11C1">
            <w:pPr>
              <w:spacing w:after="0" w:line="240" w:lineRule="auto"/>
              <w:jc w:val="right"/>
              <w:rPr>
                <w:rFonts w:ascii="Arial" w:eastAsia="Times New Roman" w:hAnsi="Arial" w:cs="Arial"/>
                <w:b/>
                <w:bCs/>
                <w:sz w:val="16"/>
                <w:szCs w:val="16"/>
              </w:rPr>
            </w:pPr>
            <w:r w:rsidRPr="00314FA4">
              <w:rPr>
                <w:rFonts w:ascii="Arial" w:eastAsia="Times New Roman" w:hAnsi="Arial" w:cs="Arial"/>
                <w:b/>
                <w:bCs/>
                <w:sz w:val="16"/>
                <w:szCs w:val="16"/>
              </w:rPr>
              <w:t>2,264,962</w:t>
            </w:r>
          </w:p>
        </w:tc>
        <w:tc>
          <w:tcPr>
            <w:tcW w:w="1194" w:type="dxa"/>
            <w:tcBorders>
              <w:top w:val="nil"/>
              <w:left w:val="nil"/>
              <w:bottom w:val="single" w:sz="4" w:space="0" w:color="000000"/>
              <w:right w:val="single" w:sz="4" w:space="0" w:color="000000"/>
            </w:tcBorders>
            <w:shd w:val="clear" w:color="auto" w:fill="auto"/>
            <w:noWrap/>
            <w:hideMark/>
          </w:tcPr>
          <w:p w:rsidR="00E9454F" w:rsidRPr="00314FA4" w:rsidRDefault="00352429" w:rsidP="009F11C1">
            <w:pPr>
              <w:spacing w:after="0" w:line="240" w:lineRule="auto"/>
              <w:jc w:val="right"/>
              <w:rPr>
                <w:rFonts w:ascii="Arial" w:eastAsia="Times New Roman" w:hAnsi="Arial" w:cs="Arial"/>
                <w:b/>
                <w:bCs/>
                <w:sz w:val="16"/>
                <w:szCs w:val="16"/>
              </w:rPr>
            </w:pPr>
            <w:r w:rsidRPr="00314FA4">
              <w:rPr>
                <w:rFonts w:ascii="Arial" w:eastAsia="Times New Roman" w:hAnsi="Arial" w:cs="Arial"/>
                <w:b/>
                <w:bCs/>
                <w:sz w:val="16"/>
                <w:szCs w:val="16"/>
              </w:rPr>
              <w:t>2,263,376</w:t>
            </w:r>
          </w:p>
        </w:tc>
        <w:tc>
          <w:tcPr>
            <w:tcW w:w="1200" w:type="dxa"/>
            <w:tcBorders>
              <w:top w:val="nil"/>
              <w:left w:val="nil"/>
              <w:bottom w:val="single" w:sz="4" w:space="0" w:color="000000"/>
              <w:right w:val="single" w:sz="4" w:space="0" w:color="000000"/>
            </w:tcBorders>
            <w:shd w:val="clear" w:color="auto" w:fill="auto"/>
            <w:noWrap/>
            <w:hideMark/>
          </w:tcPr>
          <w:p w:rsidR="00E9454F" w:rsidRPr="00314FA4" w:rsidRDefault="00352429" w:rsidP="009F11C1">
            <w:pPr>
              <w:spacing w:after="0" w:line="240" w:lineRule="auto"/>
              <w:jc w:val="right"/>
              <w:rPr>
                <w:rFonts w:ascii="Arial" w:eastAsia="Times New Roman" w:hAnsi="Arial" w:cs="Arial"/>
                <w:b/>
                <w:bCs/>
                <w:sz w:val="16"/>
                <w:szCs w:val="16"/>
              </w:rPr>
            </w:pPr>
            <w:r w:rsidRPr="00314FA4">
              <w:rPr>
                <w:rFonts w:ascii="Arial" w:eastAsia="Times New Roman" w:hAnsi="Arial" w:cs="Arial"/>
                <w:b/>
                <w:bCs/>
                <w:sz w:val="16"/>
                <w:szCs w:val="16"/>
              </w:rPr>
              <w:t>2,266,319</w:t>
            </w:r>
          </w:p>
        </w:tc>
        <w:tc>
          <w:tcPr>
            <w:tcW w:w="255" w:type="dxa"/>
            <w:tcBorders>
              <w:top w:val="nil"/>
              <w:left w:val="nil"/>
              <w:bottom w:val="nil"/>
              <w:right w:val="nil"/>
            </w:tcBorders>
            <w:shd w:val="clear" w:color="auto" w:fill="auto"/>
            <w:noWrap/>
            <w:vAlign w:val="bottom"/>
            <w:hideMark/>
          </w:tcPr>
          <w:p w:rsidR="00E9454F" w:rsidRPr="00314FA4" w:rsidRDefault="00E9454F" w:rsidP="00352429">
            <w:pPr>
              <w:spacing w:after="0" w:line="240" w:lineRule="auto"/>
              <w:jc w:val="center"/>
              <w:rPr>
                <w:rFonts w:ascii="Arial" w:eastAsia="Times New Roman" w:hAnsi="Arial" w:cs="Arial"/>
                <w:b/>
                <w:bCs/>
                <w:sz w:val="16"/>
                <w:szCs w:val="16"/>
              </w:rPr>
            </w:pPr>
          </w:p>
        </w:tc>
      </w:tr>
    </w:tbl>
    <w:p w:rsidR="009F11C1" w:rsidRPr="00314FA4" w:rsidRDefault="009F11C1" w:rsidP="0040112E">
      <w:pPr>
        <w:spacing w:after="0" w:line="0" w:lineRule="atLeast"/>
        <w:jc w:val="both"/>
        <w:rPr>
          <w:rFonts w:ascii="Ebrima" w:eastAsia="Times New Roman" w:hAnsi="Ebrima" w:cs="Times New Roman"/>
          <w:sz w:val="24"/>
          <w:szCs w:val="24"/>
          <w:lang w:val="bs-Latn-BA"/>
        </w:rPr>
      </w:pPr>
    </w:p>
    <w:p w:rsidR="000444F6" w:rsidRPr="00314FA4" w:rsidRDefault="0040112E" w:rsidP="0040112E">
      <w:pPr>
        <w:spacing w:after="0" w:line="0" w:lineRule="atLeast"/>
        <w:jc w:val="both"/>
        <w:rPr>
          <w:rFonts w:ascii="Ebrima" w:eastAsia="Times New Roman" w:hAnsi="Ebrima" w:cs="Times New Roman"/>
          <w:sz w:val="24"/>
          <w:szCs w:val="24"/>
          <w:lang w:val="bs-Latn-BA"/>
        </w:rPr>
      </w:pPr>
      <w:r w:rsidRPr="00314FA4">
        <w:rPr>
          <w:rFonts w:ascii="Ebrima" w:eastAsia="Times New Roman" w:hAnsi="Ebrima" w:cs="Times New Roman"/>
          <w:sz w:val="24"/>
          <w:szCs w:val="24"/>
          <w:lang w:val="bs-Latn-BA"/>
        </w:rPr>
        <w:t xml:space="preserve">Porezi na dobit pojedinaca (zaostale uplate poreza), predstavljaju zaostale obaveze iz prethodnih godina po osnovu Zakona o porezima Bosansko-podrinjskog kantona Goražde („Službene novine BPK-a Goražde“, broj: 17/04) koji se u dijelu oporezivanja građana ne primjenjuje od 01.01.2009. godine tj. od stupanja na snagu Zakona o porezu na dohodak, te u tom smislu ovi prihodi u apsolutnom iznosu nisu značajni. </w:t>
      </w:r>
    </w:p>
    <w:p w:rsidR="000444F6" w:rsidRPr="00314FA4" w:rsidRDefault="000444F6" w:rsidP="0040112E">
      <w:pPr>
        <w:spacing w:after="0" w:line="0" w:lineRule="atLeast"/>
        <w:jc w:val="both"/>
        <w:rPr>
          <w:rFonts w:ascii="Ebrima" w:eastAsia="Times New Roman" w:hAnsi="Ebrima" w:cs="Times New Roman"/>
          <w:sz w:val="24"/>
          <w:szCs w:val="24"/>
          <w:lang w:val="bs-Latn-BA"/>
        </w:rPr>
      </w:pPr>
    </w:p>
    <w:p w:rsidR="0040112E" w:rsidRPr="00314FA4" w:rsidRDefault="000444F6" w:rsidP="0040112E">
      <w:pPr>
        <w:spacing w:after="0" w:line="0" w:lineRule="atLeast"/>
        <w:jc w:val="both"/>
        <w:rPr>
          <w:rFonts w:ascii="Ebrima" w:eastAsia="Times New Roman" w:hAnsi="Ebrima" w:cs="Times New Roman"/>
          <w:sz w:val="24"/>
          <w:szCs w:val="24"/>
          <w:lang w:val="bs-Latn-BA"/>
        </w:rPr>
      </w:pPr>
      <w:r w:rsidRPr="00314FA4">
        <w:rPr>
          <w:rFonts w:ascii="Ebrima" w:eastAsia="Times New Roman" w:hAnsi="Ebrima" w:cs="Times New Roman"/>
          <w:sz w:val="24"/>
          <w:szCs w:val="24"/>
          <w:lang w:val="bs-Latn-BA"/>
        </w:rPr>
        <w:t>Ovdje je značaj na</w:t>
      </w:r>
      <w:r w:rsidR="0040112E" w:rsidRPr="00314FA4">
        <w:rPr>
          <w:rFonts w:ascii="Ebrima" w:eastAsia="Times New Roman" w:hAnsi="Ebrima" w:cs="Times New Roman"/>
          <w:sz w:val="24"/>
          <w:szCs w:val="24"/>
          <w:lang w:val="bs-Latn-BA"/>
        </w:rPr>
        <w:t xml:space="preserve"> porez</w:t>
      </w:r>
      <w:r w:rsidRPr="00314FA4">
        <w:rPr>
          <w:rFonts w:ascii="Ebrima" w:eastAsia="Times New Roman" w:hAnsi="Ebrima" w:cs="Times New Roman"/>
          <w:sz w:val="24"/>
          <w:szCs w:val="24"/>
          <w:lang w:val="bs-Latn-BA"/>
        </w:rPr>
        <w:t>u</w:t>
      </w:r>
      <w:r w:rsidR="0040112E" w:rsidRPr="00314FA4">
        <w:rPr>
          <w:rFonts w:ascii="Ebrima" w:eastAsia="Times New Roman" w:hAnsi="Ebrima" w:cs="Times New Roman"/>
          <w:sz w:val="24"/>
          <w:szCs w:val="24"/>
          <w:lang w:val="bs-Latn-BA"/>
        </w:rPr>
        <w:t xml:space="preserve"> na dobit preduzeća koji bi s obzirom na privredna kretanja u Kantonu trebao da ima tendenciju </w:t>
      </w:r>
      <w:r w:rsidR="00FE4A17" w:rsidRPr="00314FA4">
        <w:rPr>
          <w:rFonts w:ascii="Ebrima" w:eastAsia="Times New Roman" w:hAnsi="Ebrima" w:cs="Times New Roman"/>
          <w:sz w:val="24"/>
          <w:szCs w:val="24"/>
          <w:lang w:val="bs-Latn-BA"/>
        </w:rPr>
        <w:t>rasta</w:t>
      </w:r>
      <w:r w:rsidR="0040112E" w:rsidRPr="00314FA4">
        <w:rPr>
          <w:rFonts w:ascii="Ebrima" w:eastAsia="Times New Roman" w:hAnsi="Ebrima" w:cs="Times New Roman"/>
          <w:sz w:val="24"/>
          <w:szCs w:val="24"/>
          <w:lang w:val="bs-Latn-BA"/>
        </w:rPr>
        <w:t xml:space="preserve"> kako je i predstavljeno.</w:t>
      </w:r>
    </w:p>
    <w:p w:rsidR="0040112E" w:rsidRPr="00314FA4" w:rsidRDefault="00C30931" w:rsidP="0040112E">
      <w:pPr>
        <w:spacing w:after="0" w:line="0" w:lineRule="atLeast"/>
        <w:jc w:val="both"/>
        <w:rPr>
          <w:rFonts w:ascii="Ebrima" w:eastAsia="Times New Roman" w:hAnsi="Ebrima" w:cs="Times New Roman"/>
          <w:sz w:val="24"/>
          <w:szCs w:val="24"/>
          <w:lang w:val="bs-Latn-BA"/>
        </w:rPr>
      </w:pPr>
      <w:r w:rsidRPr="00314FA4">
        <w:rPr>
          <w:rFonts w:ascii="Ebrima" w:eastAsia="Times New Roman" w:hAnsi="Ebrima" w:cs="Times New Roman"/>
          <w:sz w:val="24"/>
          <w:szCs w:val="24"/>
          <w:lang w:val="bs-Latn-BA"/>
        </w:rPr>
        <w:t xml:space="preserve">Projekcije Federalnog ministarstva u projekcijama prihoda po osnovu </w:t>
      </w:r>
      <w:r w:rsidR="000444F6" w:rsidRPr="00314FA4">
        <w:rPr>
          <w:rFonts w:ascii="Ebrima" w:eastAsia="Times New Roman" w:hAnsi="Ebrima" w:cs="Times New Roman"/>
          <w:sz w:val="24"/>
          <w:szCs w:val="24"/>
          <w:lang w:val="bs-Latn-BA"/>
        </w:rPr>
        <w:t>poreza</w:t>
      </w:r>
      <w:r w:rsidRPr="00314FA4">
        <w:rPr>
          <w:rFonts w:ascii="Ebrima" w:eastAsia="Times New Roman" w:hAnsi="Ebrima" w:cs="Times New Roman"/>
          <w:sz w:val="24"/>
          <w:szCs w:val="24"/>
          <w:lang w:val="bs-Latn-BA"/>
        </w:rPr>
        <w:t xml:space="preserve"> na dobit</w:t>
      </w:r>
      <w:r w:rsidR="00413296" w:rsidRPr="00314FA4">
        <w:rPr>
          <w:rFonts w:ascii="Ebrima" w:eastAsia="Times New Roman" w:hAnsi="Ebrima" w:cs="Times New Roman"/>
          <w:sz w:val="24"/>
          <w:szCs w:val="24"/>
          <w:lang w:val="bs-Latn-BA"/>
        </w:rPr>
        <w:t xml:space="preserve"> i</w:t>
      </w:r>
      <w:r w:rsidR="000444F6" w:rsidRPr="00314FA4">
        <w:rPr>
          <w:rFonts w:ascii="Ebrima" w:eastAsia="Times New Roman" w:hAnsi="Ebrima" w:cs="Times New Roman"/>
          <w:sz w:val="24"/>
          <w:szCs w:val="24"/>
          <w:lang w:val="bs-Latn-BA"/>
        </w:rPr>
        <w:t xml:space="preserve"> u skladu sa kantonalnim propisom</w:t>
      </w:r>
      <w:r w:rsidRPr="00314FA4">
        <w:rPr>
          <w:rFonts w:ascii="Ebrima" w:eastAsia="Times New Roman" w:hAnsi="Ebrima" w:cs="Times New Roman"/>
          <w:sz w:val="24"/>
          <w:szCs w:val="24"/>
          <w:lang w:val="bs-Latn-BA"/>
        </w:rPr>
        <w:t xml:space="preserve"> planiran je u</w:t>
      </w:r>
      <w:r w:rsidR="00413296" w:rsidRPr="00314FA4">
        <w:rPr>
          <w:rFonts w:ascii="Ebrima" w:eastAsia="Times New Roman" w:hAnsi="Ebrima" w:cs="Times New Roman"/>
          <w:sz w:val="24"/>
          <w:szCs w:val="24"/>
          <w:lang w:val="bs-Latn-BA"/>
        </w:rPr>
        <w:t xml:space="preserve"> </w:t>
      </w:r>
      <w:r w:rsidR="00341DAF" w:rsidRPr="00314FA4">
        <w:rPr>
          <w:rFonts w:ascii="Ebrima" w:eastAsia="Times New Roman" w:hAnsi="Ebrima" w:cs="Times New Roman"/>
          <w:sz w:val="24"/>
          <w:szCs w:val="24"/>
          <w:lang w:val="bs-Latn-BA"/>
        </w:rPr>
        <w:t>iznosima</w:t>
      </w:r>
      <w:r w:rsidR="00B40ED9" w:rsidRPr="00314FA4">
        <w:rPr>
          <w:rFonts w:ascii="Ebrima" w:eastAsia="Times New Roman" w:hAnsi="Ebrima" w:cs="Times New Roman"/>
          <w:sz w:val="24"/>
          <w:szCs w:val="24"/>
          <w:lang w:val="bs-Latn-BA"/>
        </w:rPr>
        <w:t xml:space="preserve"> </w:t>
      </w:r>
      <w:r w:rsidR="00352429" w:rsidRPr="00314FA4">
        <w:rPr>
          <w:rFonts w:ascii="Ebrima" w:eastAsia="Times New Roman" w:hAnsi="Ebrima" w:cs="Times New Roman"/>
          <w:sz w:val="24"/>
          <w:szCs w:val="24"/>
          <w:lang w:val="bs-Latn-BA"/>
        </w:rPr>
        <w:t>1.584.363 KM u 2024</w:t>
      </w:r>
      <w:r w:rsidR="00341DAF" w:rsidRPr="00314FA4">
        <w:rPr>
          <w:rFonts w:ascii="Ebrima" w:eastAsia="Times New Roman" w:hAnsi="Ebrima" w:cs="Times New Roman"/>
          <w:sz w:val="24"/>
          <w:szCs w:val="24"/>
          <w:lang w:val="bs-Latn-BA"/>
        </w:rPr>
        <w:t xml:space="preserve"> godini, </w:t>
      </w:r>
      <w:r w:rsidR="00352429" w:rsidRPr="00314FA4">
        <w:rPr>
          <w:rFonts w:ascii="Ebrima" w:eastAsia="Times New Roman" w:hAnsi="Ebrima" w:cs="Times New Roman"/>
          <w:sz w:val="24"/>
          <w:szCs w:val="24"/>
          <w:lang w:val="bs-Latn-BA"/>
        </w:rPr>
        <w:t>1.586.423 KM u 2025</w:t>
      </w:r>
      <w:r w:rsidR="00341DAF" w:rsidRPr="00314FA4">
        <w:rPr>
          <w:rFonts w:ascii="Ebrima" w:eastAsia="Times New Roman" w:hAnsi="Ebrima" w:cs="Times New Roman"/>
          <w:sz w:val="24"/>
          <w:szCs w:val="24"/>
          <w:lang w:val="bs-Latn-BA"/>
        </w:rPr>
        <w:t xml:space="preserve">. godini te </w:t>
      </w:r>
      <w:r w:rsidR="00352429" w:rsidRPr="00314FA4">
        <w:rPr>
          <w:rFonts w:ascii="Ebrima" w:eastAsia="Times New Roman" w:hAnsi="Ebrima" w:cs="Times New Roman"/>
          <w:sz w:val="24"/>
          <w:szCs w:val="24"/>
          <w:lang w:val="bs-Latn-BA"/>
        </w:rPr>
        <w:t>1.588.486</w:t>
      </w:r>
      <w:r w:rsidR="00097F69" w:rsidRPr="00314FA4">
        <w:rPr>
          <w:rFonts w:ascii="Ebrima" w:eastAsia="Times New Roman" w:hAnsi="Ebrima" w:cs="Times New Roman"/>
          <w:sz w:val="24"/>
          <w:szCs w:val="24"/>
          <w:lang w:val="bs-Latn-BA"/>
        </w:rPr>
        <w:t xml:space="preserve"> KM u 2026</w:t>
      </w:r>
      <w:r w:rsidR="00341DAF" w:rsidRPr="00314FA4">
        <w:rPr>
          <w:rFonts w:ascii="Ebrima" w:eastAsia="Times New Roman" w:hAnsi="Ebrima" w:cs="Times New Roman"/>
          <w:sz w:val="24"/>
          <w:szCs w:val="24"/>
          <w:lang w:val="bs-Latn-BA"/>
        </w:rPr>
        <w:t xml:space="preserve"> KM.</w:t>
      </w:r>
    </w:p>
    <w:p w:rsidR="0040112E" w:rsidRPr="00314FA4" w:rsidRDefault="0040112E" w:rsidP="0040112E">
      <w:pPr>
        <w:spacing w:after="0" w:line="0" w:lineRule="atLeast"/>
        <w:jc w:val="both"/>
        <w:rPr>
          <w:rFonts w:ascii="Times New Roman" w:eastAsia="Times New Roman" w:hAnsi="Times New Roman" w:cs="Times New Roman"/>
          <w:sz w:val="24"/>
          <w:szCs w:val="24"/>
          <w:lang w:val="bs-Latn-BA"/>
        </w:rPr>
      </w:pPr>
    </w:p>
    <w:p w:rsidR="0040112E" w:rsidRPr="00314FA4" w:rsidRDefault="0040112E" w:rsidP="0040112E">
      <w:pPr>
        <w:spacing w:after="0" w:line="240" w:lineRule="auto"/>
        <w:jc w:val="both"/>
        <w:rPr>
          <w:rFonts w:ascii="Ebrima" w:eastAsia="Times New Roman" w:hAnsi="Ebrima" w:cs="Times New Roman"/>
          <w:b/>
          <w:bCs/>
          <w:iCs/>
          <w:sz w:val="24"/>
          <w:szCs w:val="24"/>
          <w:lang w:val="bs-Latn-BA"/>
        </w:rPr>
      </w:pPr>
      <w:r w:rsidRPr="00314FA4">
        <w:rPr>
          <w:rFonts w:ascii="Ebrima" w:eastAsia="Times New Roman" w:hAnsi="Ebrima" w:cs="Times New Roman"/>
          <w:b/>
          <w:bCs/>
          <w:iCs/>
          <w:sz w:val="24"/>
          <w:szCs w:val="24"/>
          <w:lang w:val="bs-Latn-BA"/>
        </w:rPr>
        <w:t>Porez na dohodak</w:t>
      </w:r>
    </w:p>
    <w:p w:rsidR="0040112E" w:rsidRPr="00314FA4" w:rsidRDefault="0040112E" w:rsidP="0040112E">
      <w:pPr>
        <w:spacing w:after="0" w:line="240" w:lineRule="auto"/>
        <w:jc w:val="both"/>
        <w:rPr>
          <w:rFonts w:ascii="Ebrima" w:eastAsia="Times New Roman" w:hAnsi="Ebrima" w:cs="Times New Roman"/>
          <w:sz w:val="24"/>
          <w:szCs w:val="24"/>
          <w:lang w:val="bs-Latn-BA"/>
        </w:rPr>
      </w:pPr>
      <w:r w:rsidRPr="00314FA4">
        <w:rPr>
          <w:rFonts w:ascii="Ebrima" w:eastAsia="Times New Roman" w:hAnsi="Ebrima" w:cs="Times New Roman"/>
          <w:sz w:val="24"/>
          <w:szCs w:val="24"/>
          <w:lang w:val="bs-Latn-BA"/>
        </w:rPr>
        <w:t xml:space="preserve">Prihodi od poreza na dohodak se uplaćuju na osnovu Zakona o porezu na dohodak („Službene novine Federacije BIH“, broj: 10/08, 9/10, 44/11, 07/13, 65/13), i isti je najvažniji zakon u sistemu direktnog oporezivanja u Federaciji Bosne i Hercegovine. </w:t>
      </w:r>
    </w:p>
    <w:p w:rsidR="0040112E" w:rsidRPr="00314FA4" w:rsidRDefault="0040112E" w:rsidP="0040112E">
      <w:pPr>
        <w:spacing w:after="0" w:line="240" w:lineRule="auto"/>
        <w:jc w:val="both"/>
        <w:rPr>
          <w:rFonts w:ascii="Ebrima" w:eastAsia="Times New Roman" w:hAnsi="Ebrima" w:cs="Times New Roman"/>
          <w:sz w:val="24"/>
          <w:szCs w:val="24"/>
          <w:lang w:val="bs-Latn-BA"/>
        </w:rPr>
      </w:pPr>
      <w:r w:rsidRPr="00314FA4">
        <w:rPr>
          <w:rFonts w:ascii="Ebrima" w:eastAsia="Times New Roman" w:hAnsi="Ebrima" w:cs="Times New Roman"/>
          <w:sz w:val="24"/>
          <w:szCs w:val="24"/>
          <w:lang w:val="bs-Latn-BA"/>
        </w:rPr>
        <w:t xml:space="preserve">Prema projekciji Federalnog ministarstva finansija očekuje se da će prihodi od poreza na dohodak u narednim godinama </w:t>
      </w:r>
      <w:r w:rsidR="000444F6" w:rsidRPr="00314FA4">
        <w:rPr>
          <w:rFonts w:ascii="Ebrima" w:eastAsia="Times New Roman" w:hAnsi="Ebrima" w:cs="Times New Roman"/>
          <w:sz w:val="24"/>
          <w:szCs w:val="24"/>
          <w:lang w:val="bs-Latn-BA"/>
        </w:rPr>
        <w:t>ima</w:t>
      </w:r>
      <w:r w:rsidR="00EB6226" w:rsidRPr="00314FA4">
        <w:rPr>
          <w:rFonts w:ascii="Ebrima" w:eastAsia="Times New Roman" w:hAnsi="Ebrima" w:cs="Times New Roman"/>
          <w:sz w:val="24"/>
          <w:szCs w:val="24"/>
          <w:lang w:val="bs-Latn-BA"/>
        </w:rPr>
        <w:t xml:space="preserve"> tendenciju </w:t>
      </w:r>
      <w:r w:rsidR="005E5B25" w:rsidRPr="00314FA4">
        <w:rPr>
          <w:rFonts w:ascii="Ebrima" w:eastAsia="Times New Roman" w:hAnsi="Ebrima" w:cs="Times New Roman"/>
          <w:sz w:val="24"/>
          <w:szCs w:val="24"/>
          <w:lang w:val="bs-Latn-BA"/>
        </w:rPr>
        <w:t>rasta</w:t>
      </w:r>
      <w:r w:rsidR="00EB6226" w:rsidRPr="00314FA4">
        <w:rPr>
          <w:rFonts w:ascii="Ebrima" w:eastAsia="Times New Roman" w:hAnsi="Ebrima" w:cs="Times New Roman"/>
          <w:sz w:val="24"/>
          <w:szCs w:val="24"/>
          <w:lang w:val="bs-Latn-BA"/>
        </w:rPr>
        <w:t xml:space="preserve"> u odnosu na procjenu ostvarenja </w:t>
      </w:r>
      <w:r w:rsidR="009D6C99" w:rsidRPr="00314FA4">
        <w:rPr>
          <w:rFonts w:ascii="Ebrima" w:eastAsia="Times New Roman" w:hAnsi="Ebrima" w:cs="Times New Roman"/>
          <w:sz w:val="24"/>
          <w:szCs w:val="24"/>
          <w:lang w:val="bs-Latn-BA"/>
        </w:rPr>
        <w:t>u 2022</w:t>
      </w:r>
      <w:r w:rsidR="00EB6226" w:rsidRPr="00314FA4">
        <w:rPr>
          <w:rFonts w:ascii="Ebrima" w:eastAsia="Times New Roman" w:hAnsi="Ebrima" w:cs="Times New Roman"/>
          <w:sz w:val="24"/>
          <w:szCs w:val="24"/>
          <w:lang w:val="bs-Latn-BA"/>
        </w:rPr>
        <w:t>. godini</w:t>
      </w:r>
      <w:r w:rsidR="00A13D29" w:rsidRPr="00314FA4">
        <w:rPr>
          <w:rFonts w:ascii="Ebrima" w:eastAsia="Times New Roman" w:hAnsi="Ebrima" w:cs="Times New Roman"/>
          <w:sz w:val="24"/>
          <w:szCs w:val="24"/>
          <w:lang w:val="bs-Latn-BA"/>
        </w:rPr>
        <w:t>.</w:t>
      </w:r>
      <w:r w:rsidRPr="00314FA4">
        <w:rPr>
          <w:rFonts w:ascii="Ebrima" w:eastAsia="Times New Roman" w:hAnsi="Ebrima" w:cs="Times New Roman"/>
          <w:sz w:val="24"/>
          <w:szCs w:val="24"/>
          <w:lang w:val="bs-Latn-BA"/>
        </w:rPr>
        <w:t xml:space="preserve"> Oslanjajući se na te podatke projicirani su prihodi od poreza na dohodak za naredne tri godine.</w:t>
      </w:r>
    </w:p>
    <w:p w:rsidR="00983DFA" w:rsidRPr="00314FA4" w:rsidRDefault="00983DFA" w:rsidP="0040112E">
      <w:pPr>
        <w:spacing w:after="0" w:line="240" w:lineRule="auto"/>
        <w:jc w:val="both"/>
        <w:rPr>
          <w:rFonts w:ascii="Ebrima" w:eastAsia="Times New Roman" w:hAnsi="Ebrima" w:cs="Times New Roman"/>
          <w:sz w:val="24"/>
          <w:szCs w:val="24"/>
          <w:lang w:val="bs-Latn-BA"/>
        </w:rPr>
      </w:pPr>
    </w:p>
    <w:p w:rsidR="00352429" w:rsidRPr="00314FA4" w:rsidRDefault="00352429" w:rsidP="0040112E">
      <w:pPr>
        <w:spacing w:after="0" w:line="240" w:lineRule="auto"/>
        <w:jc w:val="both"/>
        <w:rPr>
          <w:rFonts w:ascii="Ebrima" w:eastAsia="Times New Roman" w:hAnsi="Ebrima" w:cs="Times New Roman"/>
          <w:sz w:val="24"/>
          <w:szCs w:val="24"/>
          <w:lang w:val="bs-Latn-BA"/>
        </w:rPr>
      </w:pPr>
    </w:p>
    <w:p w:rsidR="00352429" w:rsidRPr="00314FA4" w:rsidRDefault="00352429" w:rsidP="0040112E">
      <w:pPr>
        <w:spacing w:after="0" w:line="240" w:lineRule="auto"/>
        <w:jc w:val="both"/>
        <w:rPr>
          <w:rFonts w:ascii="Ebrima" w:eastAsia="Times New Roman" w:hAnsi="Ebrima" w:cs="Times New Roman"/>
          <w:sz w:val="24"/>
          <w:szCs w:val="24"/>
          <w:lang w:val="bs-Latn-BA"/>
        </w:rPr>
      </w:pPr>
    </w:p>
    <w:tbl>
      <w:tblPr>
        <w:tblW w:w="9347" w:type="dxa"/>
        <w:tblInd w:w="-5" w:type="dxa"/>
        <w:tblLook w:val="04A0" w:firstRow="1" w:lastRow="0" w:firstColumn="1" w:lastColumn="0" w:noHBand="0" w:noVBand="1"/>
      </w:tblPr>
      <w:tblGrid>
        <w:gridCol w:w="4477"/>
        <w:gridCol w:w="1216"/>
        <w:gridCol w:w="1216"/>
        <w:gridCol w:w="1216"/>
        <w:gridCol w:w="1222"/>
      </w:tblGrid>
      <w:tr w:rsidR="00196CB6" w:rsidRPr="00314FA4" w:rsidTr="004623E9">
        <w:trPr>
          <w:trHeight w:val="544"/>
        </w:trPr>
        <w:tc>
          <w:tcPr>
            <w:tcW w:w="447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623E9" w:rsidRPr="00314FA4" w:rsidRDefault="004623E9" w:rsidP="009F11C1">
            <w:pPr>
              <w:spacing w:after="0" w:line="240" w:lineRule="auto"/>
              <w:rPr>
                <w:rFonts w:ascii="Arial" w:eastAsia="Times New Roman" w:hAnsi="Arial" w:cs="Arial"/>
                <w:b/>
                <w:bCs/>
                <w:sz w:val="16"/>
                <w:szCs w:val="16"/>
              </w:rPr>
            </w:pPr>
            <w:r w:rsidRPr="00314FA4">
              <w:rPr>
                <w:rFonts w:ascii="Arial" w:eastAsia="Times New Roman" w:hAnsi="Arial" w:cs="Arial"/>
                <w:b/>
                <w:bCs/>
                <w:sz w:val="16"/>
                <w:szCs w:val="16"/>
              </w:rPr>
              <w:t>VRSTA PRIHODA</w:t>
            </w:r>
          </w:p>
        </w:tc>
        <w:tc>
          <w:tcPr>
            <w:tcW w:w="4870" w:type="dxa"/>
            <w:gridSpan w:val="4"/>
            <w:tcBorders>
              <w:top w:val="single" w:sz="4" w:space="0" w:color="000000"/>
              <w:left w:val="nil"/>
              <w:bottom w:val="single" w:sz="4" w:space="0" w:color="000000"/>
              <w:right w:val="single" w:sz="4" w:space="0" w:color="000000"/>
            </w:tcBorders>
            <w:shd w:val="clear" w:color="000000" w:fill="FFC000"/>
            <w:noWrap/>
            <w:hideMark/>
          </w:tcPr>
          <w:p w:rsidR="004623E9" w:rsidRPr="00314FA4" w:rsidRDefault="004623E9" w:rsidP="009F11C1">
            <w:pPr>
              <w:spacing w:after="0" w:line="240" w:lineRule="auto"/>
              <w:jc w:val="center"/>
              <w:rPr>
                <w:rFonts w:ascii="Arial" w:eastAsia="Times New Roman" w:hAnsi="Arial" w:cs="Arial"/>
                <w:b/>
                <w:bCs/>
                <w:sz w:val="16"/>
                <w:szCs w:val="16"/>
              </w:rPr>
            </w:pPr>
            <w:r w:rsidRPr="00314FA4">
              <w:rPr>
                <w:rFonts w:ascii="Arial" w:eastAsia="Times New Roman" w:hAnsi="Arial" w:cs="Arial"/>
                <w:b/>
                <w:bCs/>
                <w:sz w:val="16"/>
                <w:szCs w:val="16"/>
              </w:rPr>
              <w:t>PROJEKCIJA</w:t>
            </w:r>
          </w:p>
        </w:tc>
      </w:tr>
      <w:tr w:rsidR="009D6C99" w:rsidRPr="00314FA4" w:rsidTr="00352429">
        <w:trPr>
          <w:trHeight w:val="140"/>
        </w:trPr>
        <w:tc>
          <w:tcPr>
            <w:tcW w:w="4477" w:type="dxa"/>
            <w:vMerge/>
            <w:tcBorders>
              <w:top w:val="single" w:sz="4" w:space="0" w:color="000000"/>
              <w:left w:val="single" w:sz="4" w:space="0" w:color="000000"/>
              <w:bottom w:val="single" w:sz="4" w:space="0" w:color="000000"/>
              <w:right w:val="single" w:sz="4" w:space="0" w:color="000000"/>
            </w:tcBorders>
            <w:vAlign w:val="center"/>
            <w:hideMark/>
          </w:tcPr>
          <w:p w:rsidR="004623E9" w:rsidRPr="00314FA4" w:rsidRDefault="004623E9" w:rsidP="009F11C1">
            <w:pPr>
              <w:spacing w:after="0" w:line="240" w:lineRule="auto"/>
              <w:rPr>
                <w:rFonts w:ascii="Arial" w:eastAsia="Times New Roman" w:hAnsi="Arial" w:cs="Arial"/>
                <w:b/>
                <w:bCs/>
                <w:sz w:val="16"/>
                <w:szCs w:val="16"/>
              </w:rPr>
            </w:pPr>
          </w:p>
        </w:tc>
        <w:tc>
          <w:tcPr>
            <w:tcW w:w="1216" w:type="dxa"/>
            <w:tcBorders>
              <w:top w:val="nil"/>
              <w:left w:val="nil"/>
              <w:bottom w:val="single" w:sz="4" w:space="0" w:color="000000"/>
              <w:right w:val="single" w:sz="4" w:space="0" w:color="000000"/>
            </w:tcBorders>
            <w:shd w:val="clear" w:color="auto" w:fill="auto"/>
            <w:noWrap/>
            <w:hideMark/>
          </w:tcPr>
          <w:p w:rsidR="004623E9" w:rsidRPr="00314FA4" w:rsidRDefault="00352429" w:rsidP="009F11C1">
            <w:pPr>
              <w:spacing w:after="0" w:line="240" w:lineRule="auto"/>
              <w:jc w:val="center"/>
              <w:rPr>
                <w:rFonts w:ascii="Arial" w:eastAsia="Times New Roman" w:hAnsi="Arial" w:cs="Arial"/>
                <w:b/>
                <w:bCs/>
                <w:sz w:val="16"/>
                <w:szCs w:val="16"/>
              </w:rPr>
            </w:pPr>
            <w:r w:rsidRPr="00314FA4">
              <w:rPr>
                <w:rFonts w:ascii="Arial" w:eastAsia="Times New Roman" w:hAnsi="Arial" w:cs="Arial"/>
                <w:b/>
                <w:bCs/>
                <w:sz w:val="16"/>
                <w:szCs w:val="16"/>
              </w:rPr>
              <w:t>2022</w:t>
            </w:r>
          </w:p>
        </w:tc>
        <w:tc>
          <w:tcPr>
            <w:tcW w:w="1216" w:type="dxa"/>
            <w:tcBorders>
              <w:top w:val="nil"/>
              <w:left w:val="nil"/>
              <w:bottom w:val="single" w:sz="4" w:space="0" w:color="000000"/>
              <w:right w:val="single" w:sz="4" w:space="0" w:color="000000"/>
            </w:tcBorders>
            <w:shd w:val="clear" w:color="auto" w:fill="auto"/>
            <w:noWrap/>
            <w:hideMark/>
          </w:tcPr>
          <w:p w:rsidR="004623E9" w:rsidRPr="00314FA4" w:rsidRDefault="00352429" w:rsidP="009F11C1">
            <w:pPr>
              <w:spacing w:after="0" w:line="240" w:lineRule="auto"/>
              <w:jc w:val="center"/>
              <w:rPr>
                <w:rFonts w:ascii="Arial" w:eastAsia="Times New Roman" w:hAnsi="Arial" w:cs="Arial"/>
                <w:b/>
                <w:bCs/>
                <w:sz w:val="16"/>
                <w:szCs w:val="16"/>
              </w:rPr>
            </w:pPr>
            <w:r w:rsidRPr="00314FA4">
              <w:rPr>
                <w:rFonts w:ascii="Arial" w:eastAsia="Times New Roman" w:hAnsi="Arial" w:cs="Arial"/>
                <w:b/>
                <w:bCs/>
                <w:sz w:val="16"/>
                <w:szCs w:val="16"/>
              </w:rPr>
              <w:t>2023</w:t>
            </w:r>
          </w:p>
        </w:tc>
        <w:tc>
          <w:tcPr>
            <w:tcW w:w="1216" w:type="dxa"/>
            <w:tcBorders>
              <w:top w:val="nil"/>
              <w:left w:val="nil"/>
              <w:bottom w:val="single" w:sz="4" w:space="0" w:color="000000"/>
              <w:right w:val="single" w:sz="4" w:space="0" w:color="000000"/>
            </w:tcBorders>
            <w:shd w:val="clear" w:color="auto" w:fill="auto"/>
            <w:noWrap/>
            <w:hideMark/>
          </w:tcPr>
          <w:p w:rsidR="004623E9" w:rsidRPr="00314FA4" w:rsidRDefault="00352429" w:rsidP="009F11C1">
            <w:pPr>
              <w:spacing w:after="0" w:line="240" w:lineRule="auto"/>
              <w:jc w:val="center"/>
              <w:rPr>
                <w:rFonts w:ascii="Arial" w:eastAsia="Times New Roman" w:hAnsi="Arial" w:cs="Arial"/>
                <w:b/>
                <w:bCs/>
                <w:sz w:val="16"/>
                <w:szCs w:val="16"/>
              </w:rPr>
            </w:pPr>
            <w:r w:rsidRPr="00314FA4">
              <w:rPr>
                <w:rFonts w:ascii="Arial" w:eastAsia="Times New Roman" w:hAnsi="Arial" w:cs="Arial"/>
                <w:b/>
                <w:bCs/>
                <w:sz w:val="16"/>
                <w:szCs w:val="16"/>
              </w:rPr>
              <w:t>2024</w:t>
            </w:r>
          </w:p>
        </w:tc>
        <w:tc>
          <w:tcPr>
            <w:tcW w:w="1222" w:type="dxa"/>
            <w:tcBorders>
              <w:top w:val="nil"/>
              <w:left w:val="nil"/>
              <w:bottom w:val="single" w:sz="4" w:space="0" w:color="000000"/>
              <w:right w:val="single" w:sz="4" w:space="0" w:color="000000"/>
            </w:tcBorders>
            <w:shd w:val="clear" w:color="auto" w:fill="auto"/>
            <w:noWrap/>
            <w:hideMark/>
          </w:tcPr>
          <w:p w:rsidR="004623E9" w:rsidRPr="00314FA4" w:rsidRDefault="00352429" w:rsidP="009F11C1">
            <w:pPr>
              <w:spacing w:after="0" w:line="240" w:lineRule="auto"/>
              <w:jc w:val="center"/>
              <w:rPr>
                <w:rFonts w:ascii="Arial" w:eastAsia="Times New Roman" w:hAnsi="Arial" w:cs="Arial"/>
                <w:b/>
                <w:bCs/>
                <w:sz w:val="16"/>
                <w:szCs w:val="16"/>
              </w:rPr>
            </w:pPr>
            <w:r w:rsidRPr="00314FA4">
              <w:rPr>
                <w:rFonts w:ascii="Arial" w:eastAsia="Times New Roman" w:hAnsi="Arial" w:cs="Arial"/>
                <w:b/>
                <w:bCs/>
                <w:sz w:val="16"/>
                <w:szCs w:val="16"/>
              </w:rPr>
              <w:t>2025</w:t>
            </w:r>
          </w:p>
        </w:tc>
      </w:tr>
      <w:tr w:rsidR="00196CB6" w:rsidRPr="00314FA4" w:rsidTr="00D666EB">
        <w:trPr>
          <w:trHeight w:val="455"/>
        </w:trPr>
        <w:tc>
          <w:tcPr>
            <w:tcW w:w="4477" w:type="dxa"/>
            <w:tcBorders>
              <w:top w:val="nil"/>
              <w:left w:val="single" w:sz="4" w:space="0" w:color="000000"/>
              <w:bottom w:val="single" w:sz="4" w:space="0" w:color="000000"/>
              <w:right w:val="single" w:sz="4" w:space="0" w:color="000000"/>
            </w:tcBorders>
            <w:shd w:val="clear" w:color="auto" w:fill="auto"/>
            <w:noWrap/>
            <w:hideMark/>
          </w:tcPr>
          <w:p w:rsidR="004623E9" w:rsidRPr="00314FA4" w:rsidRDefault="004623E9" w:rsidP="009F11C1">
            <w:pPr>
              <w:spacing w:after="0" w:line="240" w:lineRule="auto"/>
              <w:rPr>
                <w:rFonts w:ascii="Arial" w:eastAsia="Times New Roman" w:hAnsi="Arial" w:cs="Arial"/>
                <w:b/>
                <w:bCs/>
                <w:sz w:val="16"/>
                <w:szCs w:val="16"/>
              </w:rPr>
            </w:pPr>
            <w:r w:rsidRPr="00314FA4">
              <w:rPr>
                <w:rFonts w:ascii="Arial" w:eastAsia="Times New Roman" w:hAnsi="Arial" w:cs="Arial"/>
                <w:b/>
                <w:bCs/>
                <w:sz w:val="16"/>
                <w:szCs w:val="16"/>
              </w:rPr>
              <w:t>1. Porez na dohodak</w:t>
            </w:r>
          </w:p>
        </w:tc>
        <w:tc>
          <w:tcPr>
            <w:tcW w:w="1216" w:type="dxa"/>
            <w:tcBorders>
              <w:top w:val="nil"/>
              <w:left w:val="nil"/>
              <w:bottom w:val="single" w:sz="4" w:space="0" w:color="000000"/>
              <w:right w:val="single" w:sz="4" w:space="0" w:color="000000"/>
            </w:tcBorders>
            <w:shd w:val="clear" w:color="auto" w:fill="auto"/>
            <w:noWrap/>
            <w:hideMark/>
          </w:tcPr>
          <w:p w:rsidR="004623E9" w:rsidRPr="00314FA4" w:rsidRDefault="00352429" w:rsidP="009F11C1">
            <w:pPr>
              <w:spacing w:after="0" w:line="240" w:lineRule="auto"/>
              <w:jc w:val="right"/>
              <w:rPr>
                <w:rFonts w:ascii="Arial" w:eastAsia="Times New Roman" w:hAnsi="Arial" w:cs="Arial"/>
                <w:b/>
                <w:bCs/>
                <w:sz w:val="16"/>
                <w:szCs w:val="16"/>
              </w:rPr>
            </w:pPr>
            <w:r w:rsidRPr="00314FA4">
              <w:rPr>
                <w:rFonts w:ascii="Arial" w:eastAsia="Times New Roman" w:hAnsi="Arial" w:cs="Arial"/>
                <w:b/>
                <w:bCs/>
                <w:sz w:val="16"/>
                <w:szCs w:val="16"/>
              </w:rPr>
              <w:t>6,742,238</w:t>
            </w:r>
          </w:p>
        </w:tc>
        <w:tc>
          <w:tcPr>
            <w:tcW w:w="1216" w:type="dxa"/>
            <w:tcBorders>
              <w:top w:val="nil"/>
              <w:left w:val="nil"/>
              <w:bottom w:val="single" w:sz="4" w:space="0" w:color="000000"/>
              <w:right w:val="single" w:sz="4" w:space="0" w:color="000000"/>
            </w:tcBorders>
            <w:shd w:val="clear" w:color="auto" w:fill="auto"/>
            <w:noWrap/>
            <w:hideMark/>
          </w:tcPr>
          <w:p w:rsidR="004623E9" w:rsidRPr="00314FA4" w:rsidRDefault="00352429" w:rsidP="009F11C1">
            <w:pPr>
              <w:spacing w:after="0" w:line="240" w:lineRule="auto"/>
              <w:jc w:val="right"/>
              <w:rPr>
                <w:rFonts w:ascii="Arial" w:eastAsia="Times New Roman" w:hAnsi="Arial" w:cs="Arial"/>
                <w:b/>
                <w:bCs/>
                <w:sz w:val="16"/>
                <w:szCs w:val="16"/>
              </w:rPr>
            </w:pPr>
            <w:r w:rsidRPr="00314FA4">
              <w:rPr>
                <w:rFonts w:ascii="Arial" w:eastAsia="Times New Roman" w:hAnsi="Arial" w:cs="Arial"/>
                <w:b/>
                <w:bCs/>
                <w:sz w:val="16"/>
                <w:szCs w:val="16"/>
              </w:rPr>
              <w:t>7,587,266</w:t>
            </w:r>
          </w:p>
        </w:tc>
        <w:tc>
          <w:tcPr>
            <w:tcW w:w="1216" w:type="dxa"/>
            <w:tcBorders>
              <w:top w:val="nil"/>
              <w:left w:val="nil"/>
              <w:bottom w:val="single" w:sz="4" w:space="0" w:color="000000"/>
              <w:right w:val="single" w:sz="4" w:space="0" w:color="000000"/>
            </w:tcBorders>
            <w:shd w:val="clear" w:color="auto" w:fill="auto"/>
            <w:noWrap/>
            <w:hideMark/>
          </w:tcPr>
          <w:p w:rsidR="004623E9" w:rsidRPr="00314FA4" w:rsidRDefault="007A27E4" w:rsidP="009F11C1">
            <w:pPr>
              <w:spacing w:after="0" w:line="240" w:lineRule="auto"/>
              <w:jc w:val="right"/>
              <w:rPr>
                <w:rFonts w:ascii="Arial" w:eastAsia="Times New Roman" w:hAnsi="Arial" w:cs="Arial"/>
                <w:b/>
                <w:bCs/>
                <w:sz w:val="16"/>
                <w:szCs w:val="16"/>
              </w:rPr>
            </w:pPr>
            <w:r w:rsidRPr="00314FA4">
              <w:rPr>
                <w:rFonts w:ascii="Arial" w:eastAsia="Times New Roman" w:hAnsi="Arial" w:cs="Arial"/>
                <w:b/>
                <w:bCs/>
                <w:sz w:val="16"/>
                <w:szCs w:val="16"/>
              </w:rPr>
              <w:t>8,608,064</w:t>
            </w:r>
          </w:p>
        </w:tc>
        <w:tc>
          <w:tcPr>
            <w:tcW w:w="1222" w:type="dxa"/>
            <w:tcBorders>
              <w:top w:val="nil"/>
              <w:left w:val="nil"/>
              <w:bottom w:val="single" w:sz="4" w:space="0" w:color="000000"/>
              <w:right w:val="single" w:sz="4" w:space="0" w:color="000000"/>
            </w:tcBorders>
            <w:shd w:val="clear" w:color="auto" w:fill="auto"/>
            <w:noWrap/>
            <w:hideMark/>
          </w:tcPr>
          <w:p w:rsidR="004623E9" w:rsidRPr="00314FA4" w:rsidRDefault="007A27E4" w:rsidP="009F11C1">
            <w:pPr>
              <w:spacing w:after="0" w:line="240" w:lineRule="auto"/>
              <w:jc w:val="right"/>
              <w:rPr>
                <w:rFonts w:ascii="Arial" w:eastAsia="Times New Roman" w:hAnsi="Arial" w:cs="Arial"/>
                <w:b/>
                <w:bCs/>
                <w:sz w:val="16"/>
                <w:szCs w:val="16"/>
              </w:rPr>
            </w:pPr>
            <w:r w:rsidRPr="00314FA4">
              <w:rPr>
                <w:rFonts w:ascii="Arial" w:eastAsia="Times New Roman" w:hAnsi="Arial" w:cs="Arial"/>
                <w:b/>
                <w:bCs/>
                <w:sz w:val="16"/>
                <w:szCs w:val="16"/>
              </w:rPr>
              <w:t>9,841,092</w:t>
            </w:r>
          </w:p>
        </w:tc>
      </w:tr>
      <w:tr w:rsidR="00196CB6" w:rsidRPr="00314FA4" w:rsidTr="00D666EB">
        <w:trPr>
          <w:trHeight w:val="405"/>
        </w:trPr>
        <w:tc>
          <w:tcPr>
            <w:tcW w:w="4477" w:type="dxa"/>
            <w:tcBorders>
              <w:top w:val="nil"/>
              <w:left w:val="single" w:sz="4" w:space="0" w:color="000000"/>
              <w:bottom w:val="single" w:sz="4" w:space="0" w:color="000000"/>
              <w:right w:val="single" w:sz="4" w:space="0" w:color="000000"/>
            </w:tcBorders>
            <w:shd w:val="clear" w:color="auto" w:fill="auto"/>
            <w:noWrap/>
            <w:hideMark/>
          </w:tcPr>
          <w:p w:rsidR="004623E9" w:rsidRPr="00314FA4" w:rsidRDefault="004623E9" w:rsidP="009F11C1">
            <w:pPr>
              <w:spacing w:after="0" w:line="240" w:lineRule="auto"/>
              <w:rPr>
                <w:rFonts w:ascii="Arial" w:eastAsia="Times New Roman" w:hAnsi="Arial" w:cs="Arial"/>
                <w:sz w:val="16"/>
                <w:szCs w:val="16"/>
              </w:rPr>
            </w:pPr>
            <w:r w:rsidRPr="00314FA4">
              <w:rPr>
                <w:rFonts w:ascii="Arial" w:eastAsia="Times New Roman" w:hAnsi="Arial" w:cs="Arial"/>
                <w:sz w:val="16"/>
                <w:szCs w:val="16"/>
              </w:rPr>
              <w:t>1.1. Kantonalni budžet</w:t>
            </w:r>
          </w:p>
        </w:tc>
        <w:tc>
          <w:tcPr>
            <w:tcW w:w="1216" w:type="dxa"/>
            <w:tcBorders>
              <w:top w:val="nil"/>
              <w:left w:val="nil"/>
              <w:bottom w:val="single" w:sz="4" w:space="0" w:color="000000"/>
              <w:right w:val="single" w:sz="4" w:space="0" w:color="000000"/>
            </w:tcBorders>
            <w:shd w:val="clear" w:color="auto" w:fill="auto"/>
            <w:noWrap/>
            <w:hideMark/>
          </w:tcPr>
          <w:p w:rsidR="004623E9" w:rsidRPr="00314FA4" w:rsidRDefault="007A27E4" w:rsidP="009F11C1">
            <w:pPr>
              <w:spacing w:after="0" w:line="240" w:lineRule="auto"/>
              <w:jc w:val="right"/>
              <w:rPr>
                <w:rFonts w:ascii="Arial" w:eastAsia="Times New Roman" w:hAnsi="Arial" w:cs="Arial"/>
                <w:sz w:val="16"/>
                <w:szCs w:val="16"/>
              </w:rPr>
            </w:pPr>
            <w:r w:rsidRPr="00314FA4">
              <w:rPr>
                <w:rFonts w:ascii="Arial" w:eastAsia="Times New Roman" w:hAnsi="Arial" w:cs="Arial"/>
                <w:sz w:val="16"/>
                <w:szCs w:val="16"/>
              </w:rPr>
              <w:t>4,418,863</w:t>
            </w:r>
          </w:p>
        </w:tc>
        <w:tc>
          <w:tcPr>
            <w:tcW w:w="1216" w:type="dxa"/>
            <w:tcBorders>
              <w:top w:val="nil"/>
              <w:left w:val="nil"/>
              <w:bottom w:val="single" w:sz="4" w:space="0" w:color="000000"/>
              <w:right w:val="single" w:sz="4" w:space="0" w:color="000000"/>
            </w:tcBorders>
            <w:shd w:val="clear" w:color="auto" w:fill="auto"/>
            <w:noWrap/>
            <w:hideMark/>
          </w:tcPr>
          <w:p w:rsidR="004623E9" w:rsidRPr="00314FA4" w:rsidRDefault="007A27E4" w:rsidP="009F11C1">
            <w:pPr>
              <w:spacing w:after="0" w:line="240" w:lineRule="auto"/>
              <w:jc w:val="right"/>
              <w:rPr>
                <w:rFonts w:ascii="Arial" w:eastAsia="Times New Roman" w:hAnsi="Arial" w:cs="Arial"/>
                <w:sz w:val="16"/>
                <w:szCs w:val="16"/>
              </w:rPr>
            </w:pPr>
            <w:r w:rsidRPr="00314FA4">
              <w:rPr>
                <w:rFonts w:ascii="Arial" w:eastAsia="Times New Roman" w:hAnsi="Arial" w:cs="Arial"/>
                <w:sz w:val="16"/>
                <w:szCs w:val="16"/>
              </w:rPr>
              <w:t>4,972,694</w:t>
            </w:r>
          </w:p>
        </w:tc>
        <w:tc>
          <w:tcPr>
            <w:tcW w:w="1216" w:type="dxa"/>
            <w:tcBorders>
              <w:top w:val="nil"/>
              <w:left w:val="nil"/>
              <w:bottom w:val="single" w:sz="4" w:space="0" w:color="000000"/>
              <w:right w:val="single" w:sz="4" w:space="0" w:color="000000"/>
            </w:tcBorders>
            <w:shd w:val="clear" w:color="auto" w:fill="auto"/>
            <w:noWrap/>
            <w:hideMark/>
          </w:tcPr>
          <w:p w:rsidR="004623E9" w:rsidRPr="00314FA4" w:rsidRDefault="007A27E4" w:rsidP="00E9454F">
            <w:pPr>
              <w:spacing w:after="0" w:line="240" w:lineRule="auto"/>
              <w:jc w:val="right"/>
              <w:rPr>
                <w:rFonts w:ascii="Arial" w:eastAsia="Times New Roman" w:hAnsi="Arial" w:cs="Arial"/>
                <w:sz w:val="16"/>
                <w:szCs w:val="16"/>
              </w:rPr>
            </w:pPr>
            <w:r w:rsidRPr="00314FA4">
              <w:rPr>
                <w:rFonts w:ascii="Arial" w:eastAsia="Times New Roman" w:hAnsi="Arial" w:cs="Arial"/>
                <w:sz w:val="16"/>
                <w:szCs w:val="16"/>
              </w:rPr>
              <w:t>5,641,725</w:t>
            </w:r>
          </w:p>
        </w:tc>
        <w:tc>
          <w:tcPr>
            <w:tcW w:w="1222" w:type="dxa"/>
            <w:tcBorders>
              <w:top w:val="nil"/>
              <w:left w:val="nil"/>
              <w:bottom w:val="single" w:sz="4" w:space="0" w:color="000000"/>
              <w:right w:val="single" w:sz="4" w:space="0" w:color="000000"/>
            </w:tcBorders>
            <w:shd w:val="clear" w:color="auto" w:fill="auto"/>
            <w:noWrap/>
            <w:hideMark/>
          </w:tcPr>
          <w:p w:rsidR="004623E9" w:rsidRPr="00314FA4" w:rsidRDefault="007A27E4" w:rsidP="009F11C1">
            <w:pPr>
              <w:spacing w:after="0" w:line="240" w:lineRule="auto"/>
              <w:jc w:val="right"/>
              <w:rPr>
                <w:rFonts w:ascii="Arial" w:eastAsia="Times New Roman" w:hAnsi="Arial" w:cs="Arial"/>
                <w:sz w:val="16"/>
                <w:szCs w:val="16"/>
              </w:rPr>
            </w:pPr>
            <w:r w:rsidRPr="00314FA4">
              <w:rPr>
                <w:rFonts w:ascii="Arial" w:eastAsia="Times New Roman" w:hAnsi="Arial" w:cs="Arial"/>
                <w:sz w:val="16"/>
                <w:szCs w:val="16"/>
              </w:rPr>
              <w:t>6,449,851</w:t>
            </w:r>
          </w:p>
        </w:tc>
      </w:tr>
      <w:tr w:rsidR="00196CB6" w:rsidRPr="00314FA4" w:rsidTr="00D666EB">
        <w:trPr>
          <w:trHeight w:val="551"/>
        </w:trPr>
        <w:tc>
          <w:tcPr>
            <w:tcW w:w="4477" w:type="dxa"/>
            <w:tcBorders>
              <w:top w:val="nil"/>
              <w:left w:val="single" w:sz="4" w:space="0" w:color="000000"/>
              <w:bottom w:val="single" w:sz="4" w:space="0" w:color="000000"/>
              <w:right w:val="single" w:sz="4" w:space="0" w:color="000000"/>
            </w:tcBorders>
            <w:shd w:val="clear" w:color="auto" w:fill="auto"/>
            <w:noWrap/>
            <w:hideMark/>
          </w:tcPr>
          <w:p w:rsidR="004623E9" w:rsidRPr="00314FA4" w:rsidRDefault="004623E9" w:rsidP="009F11C1">
            <w:pPr>
              <w:spacing w:after="0" w:line="240" w:lineRule="auto"/>
              <w:rPr>
                <w:rFonts w:ascii="Arial" w:eastAsia="Times New Roman" w:hAnsi="Arial" w:cs="Arial"/>
                <w:sz w:val="16"/>
                <w:szCs w:val="16"/>
              </w:rPr>
            </w:pPr>
            <w:r w:rsidRPr="00314FA4">
              <w:rPr>
                <w:rFonts w:ascii="Arial" w:eastAsia="Times New Roman" w:hAnsi="Arial" w:cs="Arial"/>
                <w:sz w:val="16"/>
                <w:szCs w:val="16"/>
              </w:rPr>
              <w:t>1.2. Općinski/gradski budžeti</w:t>
            </w:r>
          </w:p>
        </w:tc>
        <w:tc>
          <w:tcPr>
            <w:tcW w:w="1216" w:type="dxa"/>
            <w:tcBorders>
              <w:top w:val="nil"/>
              <w:left w:val="nil"/>
              <w:bottom w:val="single" w:sz="4" w:space="0" w:color="000000"/>
              <w:right w:val="single" w:sz="4" w:space="0" w:color="000000"/>
            </w:tcBorders>
            <w:shd w:val="clear" w:color="auto" w:fill="auto"/>
            <w:noWrap/>
            <w:hideMark/>
          </w:tcPr>
          <w:p w:rsidR="004623E9" w:rsidRPr="00314FA4" w:rsidRDefault="007A27E4" w:rsidP="009F11C1">
            <w:pPr>
              <w:spacing w:after="0" w:line="240" w:lineRule="auto"/>
              <w:jc w:val="right"/>
              <w:rPr>
                <w:rFonts w:ascii="Arial" w:eastAsia="Times New Roman" w:hAnsi="Arial" w:cs="Arial"/>
                <w:sz w:val="16"/>
                <w:szCs w:val="16"/>
              </w:rPr>
            </w:pPr>
            <w:r w:rsidRPr="00314FA4">
              <w:rPr>
                <w:rFonts w:ascii="Arial" w:eastAsia="Times New Roman" w:hAnsi="Arial" w:cs="Arial"/>
                <w:sz w:val="16"/>
                <w:szCs w:val="16"/>
              </w:rPr>
              <w:t>2,323,375</w:t>
            </w:r>
          </w:p>
        </w:tc>
        <w:tc>
          <w:tcPr>
            <w:tcW w:w="1216" w:type="dxa"/>
            <w:tcBorders>
              <w:top w:val="nil"/>
              <w:left w:val="nil"/>
              <w:bottom w:val="single" w:sz="4" w:space="0" w:color="000000"/>
              <w:right w:val="single" w:sz="4" w:space="0" w:color="000000"/>
            </w:tcBorders>
            <w:shd w:val="clear" w:color="auto" w:fill="auto"/>
            <w:noWrap/>
            <w:hideMark/>
          </w:tcPr>
          <w:p w:rsidR="004623E9" w:rsidRPr="00314FA4" w:rsidRDefault="007A27E4" w:rsidP="009F11C1">
            <w:pPr>
              <w:spacing w:after="0" w:line="240" w:lineRule="auto"/>
              <w:jc w:val="right"/>
              <w:rPr>
                <w:rFonts w:ascii="Arial" w:eastAsia="Times New Roman" w:hAnsi="Arial" w:cs="Arial"/>
                <w:sz w:val="16"/>
                <w:szCs w:val="16"/>
              </w:rPr>
            </w:pPr>
            <w:r w:rsidRPr="00314FA4">
              <w:rPr>
                <w:rFonts w:ascii="Arial" w:eastAsia="Times New Roman" w:hAnsi="Arial" w:cs="Arial"/>
                <w:sz w:val="16"/>
                <w:szCs w:val="16"/>
              </w:rPr>
              <w:t>2,614,572</w:t>
            </w:r>
          </w:p>
        </w:tc>
        <w:tc>
          <w:tcPr>
            <w:tcW w:w="1216" w:type="dxa"/>
            <w:tcBorders>
              <w:top w:val="nil"/>
              <w:left w:val="nil"/>
              <w:bottom w:val="single" w:sz="4" w:space="0" w:color="000000"/>
              <w:right w:val="single" w:sz="4" w:space="0" w:color="000000"/>
            </w:tcBorders>
            <w:shd w:val="clear" w:color="auto" w:fill="auto"/>
            <w:noWrap/>
            <w:hideMark/>
          </w:tcPr>
          <w:p w:rsidR="004623E9" w:rsidRPr="00314FA4" w:rsidRDefault="007A27E4" w:rsidP="00E9454F">
            <w:pPr>
              <w:spacing w:after="0" w:line="240" w:lineRule="auto"/>
              <w:jc w:val="right"/>
              <w:rPr>
                <w:rFonts w:ascii="Arial" w:eastAsia="Times New Roman" w:hAnsi="Arial" w:cs="Arial"/>
                <w:sz w:val="16"/>
                <w:szCs w:val="16"/>
              </w:rPr>
            </w:pPr>
            <w:r w:rsidRPr="00314FA4">
              <w:rPr>
                <w:rFonts w:ascii="Arial" w:eastAsia="Times New Roman" w:hAnsi="Arial" w:cs="Arial"/>
                <w:sz w:val="16"/>
                <w:szCs w:val="16"/>
              </w:rPr>
              <w:t>2,966,339</w:t>
            </w:r>
          </w:p>
        </w:tc>
        <w:tc>
          <w:tcPr>
            <w:tcW w:w="1222" w:type="dxa"/>
            <w:tcBorders>
              <w:top w:val="nil"/>
              <w:left w:val="nil"/>
              <w:bottom w:val="single" w:sz="4" w:space="0" w:color="000000"/>
              <w:right w:val="single" w:sz="4" w:space="0" w:color="000000"/>
            </w:tcBorders>
            <w:shd w:val="clear" w:color="auto" w:fill="auto"/>
            <w:noWrap/>
            <w:hideMark/>
          </w:tcPr>
          <w:p w:rsidR="004623E9" w:rsidRPr="00314FA4" w:rsidRDefault="007A27E4" w:rsidP="009F11C1">
            <w:pPr>
              <w:spacing w:after="0" w:line="240" w:lineRule="auto"/>
              <w:jc w:val="right"/>
              <w:rPr>
                <w:rFonts w:ascii="Arial" w:eastAsia="Times New Roman" w:hAnsi="Arial" w:cs="Arial"/>
                <w:sz w:val="16"/>
                <w:szCs w:val="16"/>
              </w:rPr>
            </w:pPr>
            <w:r w:rsidRPr="00314FA4">
              <w:rPr>
                <w:rFonts w:ascii="Arial" w:eastAsia="Times New Roman" w:hAnsi="Arial" w:cs="Arial"/>
                <w:sz w:val="16"/>
                <w:szCs w:val="16"/>
              </w:rPr>
              <w:t>3,391,240</w:t>
            </w:r>
          </w:p>
        </w:tc>
      </w:tr>
    </w:tbl>
    <w:p w:rsidR="00D666EB" w:rsidRPr="00314FA4" w:rsidRDefault="00097F69" w:rsidP="0040112E">
      <w:pPr>
        <w:spacing w:after="0" w:line="240" w:lineRule="auto"/>
        <w:jc w:val="both"/>
        <w:rPr>
          <w:rFonts w:ascii="Ebrima" w:eastAsia="Times New Roman" w:hAnsi="Ebrima" w:cs="Times New Roman"/>
          <w:sz w:val="24"/>
          <w:szCs w:val="24"/>
          <w:lang w:val="bs-Latn-BA"/>
        </w:rPr>
      </w:pPr>
      <w:r w:rsidRPr="00314FA4">
        <w:rPr>
          <w:rFonts w:ascii="Ebrima" w:eastAsia="Times New Roman" w:hAnsi="Ebrima" w:cs="Times New Roman"/>
          <w:sz w:val="24"/>
          <w:szCs w:val="24"/>
          <w:lang w:val="bs-Latn-BA"/>
        </w:rPr>
        <w:t xml:space="preserve">Za </w:t>
      </w:r>
      <w:r w:rsidR="009D6C99" w:rsidRPr="00314FA4">
        <w:rPr>
          <w:rFonts w:ascii="Ebrima" w:eastAsia="Times New Roman" w:hAnsi="Ebrima" w:cs="Times New Roman"/>
          <w:sz w:val="24"/>
          <w:szCs w:val="24"/>
          <w:lang w:val="bs-Latn-BA"/>
        </w:rPr>
        <w:t>2026. godinu isti je procjenj</w:t>
      </w:r>
      <w:r w:rsidRPr="00314FA4">
        <w:rPr>
          <w:rFonts w:ascii="Ebrima" w:eastAsia="Times New Roman" w:hAnsi="Ebrima" w:cs="Times New Roman"/>
          <w:sz w:val="24"/>
          <w:szCs w:val="24"/>
          <w:lang w:val="bs-Latn-BA"/>
        </w:rPr>
        <w:t>en  u iznosu od 7.373.733 KM</w:t>
      </w:r>
    </w:p>
    <w:p w:rsidR="00097F69" w:rsidRPr="00314FA4" w:rsidRDefault="00097F69" w:rsidP="0040112E">
      <w:pPr>
        <w:spacing w:after="0" w:line="240" w:lineRule="auto"/>
        <w:jc w:val="both"/>
        <w:rPr>
          <w:rFonts w:ascii="Ebrima" w:eastAsia="Times New Roman" w:hAnsi="Ebrima" w:cs="Times New Roman"/>
          <w:sz w:val="24"/>
          <w:szCs w:val="24"/>
          <w:lang w:val="bs-Latn-BA"/>
        </w:rPr>
      </w:pPr>
    </w:p>
    <w:p w:rsidR="0040112E" w:rsidRPr="00314FA4" w:rsidRDefault="0040112E" w:rsidP="0040112E">
      <w:pPr>
        <w:spacing w:after="0" w:line="240" w:lineRule="auto"/>
        <w:jc w:val="both"/>
        <w:rPr>
          <w:rFonts w:ascii="Ebrima" w:eastAsia="Times New Roman" w:hAnsi="Ebrima" w:cs="Times New Roman"/>
          <w:b/>
          <w:sz w:val="24"/>
          <w:szCs w:val="24"/>
          <w:lang w:val="bs-Latn-BA"/>
        </w:rPr>
      </w:pPr>
      <w:r w:rsidRPr="00314FA4">
        <w:rPr>
          <w:rFonts w:ascii="Ebrima" w:eastAsia="Times New Roman" w:hAnsi="Ebrima" w:cs="Times New Roman"/>
          <w:b/>
          <w:sz w:val="24"/>
          <w:szCs w:val="24"/>
          <w:lang w:val="bs-Latn-BA"/>
        </w:rPr>
        <w:t xml:space="preserve">Porez na imovinu </w:t>
      </w:r>
    </w:p>
    <w:p w:rsidR="00835DD7" w:rsidRPr="00314FA4" w:rsidRDefault="00835DD7" w:rsidP="0040112E">
      <w:pPr>
        <w:spacing w:after="0" w:line="240" w:lineRule="auto"/>
        <w:jc w:val="both"/>
        <w:rPr>
          <w:rFonts w:ascii="Ebrima" w:eastAsia="Times New Roman" w:hAnsi="Ebrima" w:cs="Times New Roman"/>
          <w:sz w:val="24"/>
          <w:szCs w:val="24"/>
          <w:lang w:val="bs-Latn-BA"/>
        </w:rPr>
      </w:pPr>
    </w:p>
    <w:p w:rsidR="0040112E" w:rsidRPr="00314FA4" w:rsidRDefault="0040112E" w:rsidP="0040112E">
      <w:pPr>
        <w:spacing w:after="0" w:line="240" w:lineRule="auto"/>
        <w:jc w:val="both"/>
        <w:rPr>
          <w:rFonts w:ascii="Ebrima" w:eastAsia="Times New Roman" w:hAnsi="Ebrima" w:cs="Times New Roman"/>
          <w:sz w:val="24"/>
          <w:szCs w:val="24"/>
          <w:lang w:val="bs-Latn-BA"/>
        </w:rPr>
      </w:pPr>
      <w:r w:rsidRPr="00314FA4">
        <w:rPr>
          <w:rFonts w:ascii="Ebrima" w:eastAsia="Times New Roman" w:hAnsi="Ebrima" w:cs="Times New Roman"/>
          <w:sz w:val="24"/>
          <w:szCs w:val="24"/>
          <w:lang w:val="bs-Latn-BA"/>
        </w:rPr>
        <w:t>Porez na imovinu u obliku u kojem se primjenjuje u Federaciji Bosne i Hercegovine je zastario u formalnom i suštinskom smislu, te je reforma ovog sistema neophodna u pravcu jedinstvene okvirne regulative, da se utvrde ista pravila na teritoriji Federacije Bosne i Hercegovine i da se primjene savremeni principi oporezivanja imovine.</w:t>
      </w:r>
    </w:p>
    <w:p w:rsidR="0040112E" w:rsidRPr="00314FA4" w:rsidRDefault="0040112E" w:rsidP="0040112E">
      <w:pPr>
        <w:spacing w:after="0" w:line="240" w:lineRule="auto"/>
        <w:jc w:val="both"/>
        <w:rPr>
          <w:rFonts w:ascii="Ebrima" w:eastAsia="Times New Roman" w:hAnsi="Ebrima" w:cs="Times New Roman"/>
          <w:sz w:val="24"/>
          <w:szCs w:val="24"/>
          <w:lang w:val="bs-Latn-BA"/>
        </w:rPr>
      </w:pPr>
      <w:r w:rsidRPr="00314FA4">
        <w:rPr>
          <w:rFonts w:ascii="Ebrima" w:eastAsia="Times New Roman" w:hAnsi="Ebrima" w:cs="Times New Roman"/>
          <w:sz w:val="24"/>
          <w:szCs w:val="24"/>
          <w:lang w:val="bs-Latn-BA"/>
        </w:rPr>
        <w:t>Porez na imovinu predstavljen je u tri grupe poreza, i to:</w:t>
      </w:r>
    </w:p>
    <w:p w:rsidR="0040112E" w:rsidRPr="00314FA4" w:rsidRDefault="000444F6" w:rsidP="0040112E">
      <w:pPr>
        <w:numPr>
          <w:ilvl w:val="0"/>
          <w:numId w:val="2"/>
        </w:numPr>
        <w:spacing w:after="0" w:line="240" w:lineRule="auto"/>
        <w:jc w:val="both"/>
        <w:rPr>
          <w:rFonts w:ascii="Ebrima" w:eastAsia="Times New Roman" w:hAnsi="Ebrima" w:cs="Times New Roman"/>
          <w:sz w:val="24"/>
          <w:szCs w:val="24"/>
          <w:lang w:val="bs-Latn-BA"/>
        </w:rPr>
      </w:pPr>
      <w:r w:rsidRPr="00314FA4">
        <w:rPr>
          <w:rFonts w:ascii="Ebrima" w:eastAsia="Times New Roman" w:hAnsi="Ebrima" w:cs="Times New Roman"/>
          <w:b/>
          <w:bCs/>
          <w:sz w:val="24"/>
          <w:szCs w:val="24"/>
          <w:lang w:val="bs-Latn-BA"/>
        </w:rPr>
        <w:t>P</w:t>
      </w:r>
      <w:r w:rsidR="0040112E" w:rsidRPr="00314FA4">
        <w:rPr>
          <w:rFonts w:ascii="Ebrima" w:eastAsia="Times New Roman" w:hAnsi="Ebrima" w:cs="Times New Roman"/>
          <w:b/>
          <w:bCs/>
          <w:sz w:val="24"/>
          <w:szCs w:val="24"/>
          <w:lang w:val="bs-Latn-BA"/>
        </w:rPr>
        <w:t xml:space="preserve">orez na imovinu </w:t>
      </w:r>
      <w:r w:rsidR="0040112E" w:rsidRPr="00314FA4">
        <w:rPr>
          <w:rFonts w:ascii="Ebrima" w:eastAsia="Times New Roman" w:hAnsi="Ebrima" w:cs="Times New Roman"/>
          <w:bCs/>
          <w:sz w:val="24"/>
          <w:szCs w:val="24"/>
          <w:lang w:val="bs-Latn-BA"/>
        </w:rPr>
        <w:t>koji je</w:t>
      </w:r>
      <w:r w:rsidR="0040112E" w:rsidRPr="00314FA4">
        <w:rPr>
          <w:rFonts w:ascii="Ebrima" w:eastAsia="Times New Roman" w:hAnsi="Ebrima" w:cs="Times New Roman"/>
          <w:b/>
          <w:bCs/>
          <w:sz w:val="24"/>
          <w:szCs w:val="24"/>
          <w:lang w:val="bs-Latn-BA"/>
        </w:rPr>
        <w:t xml:space="preserve"> </w:t>
      </w:r>
      <w:r w:rsidR="0040112E" w:rsidRPr="00314FA4">
        <w:rPr>
          <w:rFonts w:ascii="Ebrima" w:eastAsia="Times New Roman" w:hAnsi="Ebrima" w:cs="Times New Roman"/>
          <w:sz w:val="24"/>
          <w:szCs w:val="24"/>
          <w:lang w:val="bs-Latn-BA"/>
        </w:rPr>
        <w:t>regulisan Zakonom o porezu na imovinu, naslijeđe i poklon („Službene novine BPK-a Goražde“, broj: 7/09, 4/13, 15/14). Naime, navedena grupa poreza iz godine u godinu ima tendeciju rasta, a posebno nakon donošenja novog Zakona o porezu na imovinu, naslijeđe i poklon kojim je smanjeno opterećenje za pojedine obveznike, ali je proširen obim oporezivanja. Pravilnikom o knjigovodstvu budžeta u Federaciji Bosne i Hercegovine porez na imovinu se dijeli na: porez na imovinu od fizičkih lica i porez na imovinu od pravnih lica.</w:t>
      </w:r>
    </w:p>
    <w:p w:rsidR="0040112E" w:rsidRPr="00314FA4" w:rsidRDefault="0040112E" w:rsidP="0040112E">
      <w:pPr>
        <w:numPr>
          <w:ilvl w:val="0"/>
          <w:numId w:val="2"/>
        </w:numPr>
        <w:spacing w:after="0" w:line="240" w:lineRule="auto"/>
        <w:jc w:val="both"/>
        <w:rPr>
          <w:rFonts w:ascii="Ebrima" w:eastAsia="Times New Roman" w:hAnsi="Ebrima" w:cs="Times New Roman"/>
          <w:sz w:val="24"/>
          <w:szCs w:val="24"/>
          <w:lang w:val="bs-Latn-BA"/>
        </w:rPr>
      </w:pPr>
      <w:r w:rsidRPr="00314FA4">
        <w:rPr>
          <w:rFonts w:ascii="Ebrima" w:eastAsia="Times New Roman" w:hAnsi="Ebrima" w:cs="Times New Roman"/>
          <w:b/>
          <w:bCs/>
          <w:sz w:val="24"/>
          <w:szCs w:val="24"/>
          <w:lang w:val="bs-Latn-BA"/>
        </w:rPr>
        <w:t>Porez na naslijeđe i darove</w:t>
      </w:r>
      <w:r w:rsidRPr="00314FA4">
        <w:rPr>
          <w:rFonts w:ascii="Ebrima" w:eastAsia="Times New Roman" w:hAnsi="Ebrima" w:cs="Times New Roman"/>
          <w:sz w:val="24"/>
          <w:szCs w:val="24"/>
          <w:lang w:val="bs-Latn-BA"/>
        </w:rPr>
        <w:t xml:space="preserve"> i ova vrsta prihoda također je regulisana Zakonom o porezu na imovinu, naslijeđe i poklon („Službene novine BPK-a Goražde“, broj: 7/09).</w:t>
      </w:r>
    </w:p>
    <w:p w:rsidR="0040112E" w:rsidRPr="00314FA4" w:rsidRDefault="0040112E" w:rsidP="001A7162">
      <w:pPr>
        <w:numPr>
          <w:ilvl w:val="0"/>
          <w:numId w:val="2"/>
        </w:numPr>
        <w:spacing w:after="0" w:line="240" w:lineRule="auto"/>
        <w:jc w:val="both"/>
        <w:rPr>
          <w:rFonts w:ascii="Ebrima" w:eastAsia="Times New Roman" w:hAnsi="Ebrima" w:cs="Times New Roman"/>
          <w:sz w:val="24"/>
          <w:szCs w:val="24"/>
          <w:lang w:val="bs-Latn-BA"/>
        </w:rPr>
      </w:pPr>
      <w:r w:rsidRPr="00314FA4">
        <w:rPr>
          <w:rFonts w:ascii="Ebrima" w:eastAsia="Times New Roman" w:hAnsi="Ebrima" w:cs="Times New Roman"/>
          <w:b/>
          <w:bCs/>
          <w:sz w:val="24"/>
          <w:szCs w:val="24"/>
          <w:lang w:val="bs-Latn-BA"/>
        </w:rPr>
        <w:t xml:space="preserve">Porez na finansijske i kapitalne transakcije </w:t>
      </w:r>
      <w:r w:rsidRPr="00314FA4">
        <w:rPr>
          <w:rFonts w:ascii="Ebrima" w:eastAsia="Times New Roman" w:hAnsi="Ebrima" w:cs="Times New Roman"/>
          <w:sz w:val="24"/>
          <w:szCs w:val="24"/>
          <w:lang w:val="bs-Latn-BA"/>
        </w:rPr>
        <w:t>prema Pravilniku o knjigovodstvu budžeta u Federaciji Bosne i Hercegovine ustvari predstavlja porez na promet nepokretnosti fizičkih lica i porez na promet nepokretnosti pravnih lica, a regulisan je Zakonom o porezu na promet nepokretnosti i prava („Službene novine BPK-a Goražde“, broj: 18/01, 02/10).</w:t>
      </w:r>
    </w:p>
    <w:p w:rsidR="0040112E" w:rsidRPr="00314FA4" w:rsidRDefault="0040112E" w:rsidP="0040112E">
      <w:pPr>
        <w:numPr>
          <w:ilvl w:val="0"/>
          <w:numId w:val="2"/>
        </w:numPr>
        <w:spacing w:after="0" w:line="240" w:lineRule="auto"/>
        <w:jc w:val="both"/>
        <w:rPr>
          <w:rFonts w:ascii="Ebrima" w:eastAsia="Times New Roman" w:hAnsi="Ebrima" w:cs="Times New Roman"/>
          <w:sz w:val="24"/>
          <w:szCs w:val="24"/>
          <w:lang w:val="bs-Latn-BA"/>
        </w:rPr>
      </w:pPr>
      <w:r w:rsidRPr="00314FA4">
        <w:rPr>
          <w:rFonts w:ascii="Ebrima" w:eastAsia="Times New Roman" w:hAnsi="Ebrima" w:cs="Times New Roman"/>
          <w:bCs/>
          <w:sz w:val="24"/>
          <w:szCs w:val="24"/>
          <w:lang w:val="bs-Latn-BA"/>
        </w:rPr>
        <w:t>Stalni porez na imovinu,</w:t>
      </w:r>
      <w:r w:rsidRPr="00314FA4">
        <w:rPr>
          <w:rFonts w:ascii="Ebrima" w:eastAsia="Times New Roman" w:hAnsi="Ebrima" w:cs="Times New Roman"/>
          <w:b/>
          <w:bCs/>
          <w:sz w:val="24"/>
          <w:szCs w:val="24"/>
          <w:lang w:val="bs-Latn-BA"/>
        </w:rPr>
        <w:t xml:space="preserve"> </w:t>
      </w:r>
      <w:r w:rsidRPr="00314FA4">
        <w:rPr>
          <w:rFonts w:ascii="Ebrima" w:eastAsia="Times New Roman" w:hAnsi="Ebrima" w:cs="Times New Roman"/>
          <w:sz w:val="24"/>
          <w:szCs w:val="24"/>
          <w:lang w:val="bs-Latn-BA"/>
        </w:rPr>
        <w:t>prihodi po osnovu poreza na naslijeđe i poklon i porez na finansijske i kapitalne transakcije su povećani obzirom da je za očekivati da u odnosu na prethodnu godinu dođe do povećanja obima naslijeđivanja, poklanjanja i prometa nepokretnosti</w:t>
      </w:r>
      <w:r w:rsidRPr="00314FA4">
        <w:rPr>
          <w:rFonts w:ascii="Ebrima" w:eastAsia="Times New Roman" w:hAnsi="Ebrima" w:cs="Times New Roman"/>
          <w:b/>
          <w:sz w:val="24"/>
          <w:szCs w:val="24"/>
          <w:lang w:val="bs-Latn-BA"/>
        </w:rPr>
        <w:t>.</w:t>
      </w:r>
    </w:p>
    <w:tbl>
      <w:tblPr>
        <w:tblW w:w="9115" w:type="dxa"/>
        <w:tblInd w:w="108" w:type="dxa"/>
        <w:tblLook w:val="04A0" w:firstRow="1" w:lastRow="0" w:firstColumn="1" w:lastColumn="0" w:noHBand="0" w:noVBand="1"/>
      </w:tblPr>
      <w:tblGrid>
        <w:gridCol w:w="3364"/>
        <w:gridCol w:w="1917"/>
        <w:gridCol w:w="1917"/>
        <w:gridCol w:w="1917"/>
      </w:tblGrid>
      <w:tr w:rsidR="00314FA4" w:rsidRPr="00314FA4" w:rsidTr="00EB6226">
        <w:trPr>
          <w:trHeight w:val="253"/>
        </w:trPr>
        <w:tc>
          <w:tcPr>
            <w:tcW w:w="3364" w:type="dxa"/>
            <w:tcBorders>
              <w:top w:val="nil"/>
              <w:left w:val="nil"/>
              <w:bottom w:val="nil"/>
              <w:right w:val="nil"/>
            </w:tcBorders>
            <w:shd w:val="clear" w:color="auto" w:fill="auto"/>
            <w:noWrap/>
            <w:vAlign w:val="bottom"/>
            <w:hideMark/>
          </w:tcPr>
          <w:p w:rsidR="00EB6226" w:rsidRPr="00314FA4" w:rsidRDefault="00EB6226" w:rsidP="00835DD7">
            <w:pPr>
              <w:spacing w:after="0" w:line="240" w:lineRule="auto"/>
              <w:ind w:left="-352"/>
              <w:jc w:val="center"/>
              <w:rPr>
                <w:rFonts w:ascii="Arial" w:eastAsia="Times New Roman" w:hAnsi="Arial" w:cs="Arial"/>
                <w:sz w:val="16"/>
                <w:szCs w:val="16"/>
                <w:u w:val="single"/>
                <w:lang w:val="bs-Latn-BA" w:eastAsia="bs-Latn-BA"/>
              </w:rPr>
            </w:pPr>
          </w:p>
        </w:tc>
        <w:tc>
          <w:tcPr>
            <w:tcW w:w="1917" w:type="dxa"/>
            <w:tcBorders>
              <w:top w:val="nil"/>
              <w:left w:val="nil"/>
              <w:bottom w:val="single" w:sz="4" w:space="0" w:color="auto"/>
              <w:right w:val="single" w:sz="4" w:space="0" w:color="auto"/>
            </w:tcBorders>
            <w:shd w:val="clear" w:color="000000" w:fill="BFBFBF"/>
            <w:noWrap/>
            <w:vAlign w:val="bottom"/>
            <w:hideMark/>
          </w:tcPr>
          <w:p w:rsidR="00EB6226" w:rsidRPr="00314FA4" w:rsidRDefault="00596CA3" w:rsidP="0040112E">
            <w:pPr>
              <w:spacing w:after="0" w:line="240" w:lineRule="auto"/>
              <w:jc w:val="center"/>
              <w:rPr>
                <w:rFonts w:ascii="Arial" w:eastAsia="Times New Roman" w:hAnsi="Arial" w:cs="Arial"/>
                <w:b/>
                <w:bCs/>
                <w:sz w:val="20"/>
                <w:szCs w:val="20"/>
                <w:lang w:val="bs-Latn-BA" w:eastAsia="bs-Latn-BA"/>
              </w:rPr>
            </w:pPr>
            <w:r w:rsidRPr="00314FA4">
              <w:rPr>
                <w:rFonts w:ascii="Arial" w:eastAsia="Times New Roman" w:hAnsi="Arial" w:cs="Arial"/>
                <w:b/>
                <w:bCs/>
                <w:sz w:val="20"/>
                <w:szCs w:val="20"/>
                <w:lang w:val="bs-Latn-BA" w:eastAsia="bs-Latn-BA"/>
              </w:rPr>
              <w:t>2024</w:t>
            </w:r>
          </w:p>
        </w:tc>
        <w:tc>
          <w:tcPr>
            <w:tcW w:w="1917" w:type="dxa"/>
            <w:tcBorders>
              <w:top w:val="nil"/>
              <w:left w:val="nil"/>
              <w:bottom w:val="single" w:sz="4" w:space="0" w:color="auto"/>
              <w:right w:val="single" w:sz="4" w:space="0" w:color="auto"/>
            </w:tcBorders>
            <w:shd w:val="clear" w:color="000000" w:fill="BFBFBF"/>
            <w:noWrap/>
            <w:vAlign w:val="bottom"/>
            <w:hideMark/>
          </w:tcPr>
          <w:p w:rsidR="00EB6226" w:rsidRPr="00314FA4" w:rsidRDefault="00596CA3" w:rsidP="0040112E">
            <w:pPr>
              <w:spacing w:after="0" w:line="240" w:lineRule="auto"/>
              <w:jc w:val="center"/>
              <w:rPr>
                <w:rFonts w:ascii="Arial" w:eastAsia="Times New Roman" w:hAnsi="Arial" w:cs="Arial"/>
                <w:b/>
                <w:bCs/>
                <w:sz w:val="20"/>
                <w:szCs w:val="20"/>
                <w:lang w:val="bs-Latn-BA" w:eastAsia="bs-Latn-BA"/>
              </w:rPr>
            </w:pPr>
            <w:r w:rsidRPr="00314FA4">
              <w:rPr>
                <w:rFonts w:ascii="Arial" w:eastAsia="Times New Roman" w:hAnsi="Arial" w:cs="Arial"/>
                <w:b/>
                <w:bCs/>
                <w:sz w:val="20"/>
                <w:szCs w:val="20"/>
                <w:lang w:val="bs-Latn-BA" w:eastAsia="bs-Latn-BA"/>
              </w:rPr>
              <w:t>2025</w:t>
            </w:r>
          </w:p>
        </w:tc>
        <w:tc>
          <w:tcPr>
            <w:tcW w:w="1917" w:type="dxa"/>
            <w:tcBorders>
              <w:top w:val="nil"/>
              <w:left w:val="nil"/>
              <w:bottom w:val="single" w:sz="4" w:space="0" w:color="auto"/>
              <w:right w:val="single" w:sz="4" w:space="0" w:color="auto"/>
            </w:tcBorders>
            <w:shd w:val="clear" w:color="000000" w:fill="BFBFBF"/>
            <w:noWrap/>
            <w:vAlign w:val="bottom"/>
            <w:hideMark/>
          </w:tcPr>
          <w:p w:rsidR="00EB6226" w:rsidRPr="00314FA4" w:rsidRDefault="00596CA3" w:rsidP="0040112E">
            <w:pPr>
              <w:spacing w:after="0" w:line="240" w:lineRule="auto"/>
              <w:jc w:val="center"/>
              <w:rPr>
                <w:rFonts w:ascii="Arial" w:eastAsia="Times New Roman" w:hAnsi="Arial" w:cs="Arial"/>
                <w:b/>
                <w:bCs/>
                <w:sz w:val="20"/>
                <w:szCs w:val="20"/>
                <w:lang w:val="bs-Latn-BA" w:eastAsia="bs-Latn-BA"/>
              </w:rPr>
            </w:pPr>
            <w:r w:rsidRPr="00314FA4">
              <w:rPr>
                <w:rFonts w:ascii="Arial" w:eastAsia="Times New Roman" w:hAnsi="Arial" w:cs="Arial"/>
                <w:b/>
                <w:bCs/>
                <w:sz w:val="20"/>
                <w:szCs w:val="20"/>
                <w:lang w:val="bs-Latn-BA" w:eastAsia="bs-Latn-BA"/>
              </w:rPr>
              <w:t>2026</w:t>
            </w:r>
          </w:p>
        </w:tc>
      </w:tr>
      <w:tr w:rsidR="00314FA4" w:rsidRPr="00314FA4" w:rsidTr="00EB6226">
        <w:trPr>
          <w:trHeight w:val="265"/>
        </w:trPr>
        <w:tc>
          <w:tcPr>
            <w:tcW w:w="336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EB6226" w:rsidRPr="00314FA4" w:rsidRDefault="00EB6226" w:rsidP="0040112E">
            <w:pPr>
              <w:spacing w:after="0" w:line="240" w:lineRule="auto"/>
              <w:rPr>
                <w:rFonts w:ascii="Arial" w:eastAsia="Times New Roman" w:hAnsi="Arial" w:cs="Arial"/>
                <w:b/>
                <w:bCs/>
                <w:sz w:val="20"/>
                <w:szCs w:val="20"/>
                <w:lang w:val="bs-Latn-BA" w:eastAsia="bs-Latn-BA"/>
              </w:rPr>
            </w:pPr>
            <w:r w:rsidRPr="00314FA4">
              <w:rPr>
                <w:rFonts w:ascii="Arial" w:eastAsia="Times New Roman" w:hAnsi="Arial" w:cs="Arial"/>
                <w:b/>
                <w:bCs/>
                <w:sz w:val="20"/>
                <w:szCs w:val="20"/>
                <w:lang w:val="bs-Latn-BA" w:eastAsia="bs-Latn-BA"/>
              </w:rPr>
              <w:t>POREZ NA IMOVINU</w:t>
            </w:r>
          </w:p>
        </w:tc>
        <w:tc>
          <w:tcPr>
            <w:tcW w:w="1917" w:type="dxa"/>
            <w:tcBorders>
              <w:top w:val="nil"/>
              <w:left w:val="nil"/>
              <w:bottom w:val="single" w:sz="4" w:space="0" w:color="auto"/>
              <w:right w:val="single" w:sz="4" w:space="0" w:color="auto"/>
            </w:tcBorders>
            <w:shd w:val="clear" w:color="000000" w:fill="D9D9D9"/>
            <w:noWrap/>
            <w:vAlign w:val="bottom"/>
            <w:hideMark/>
          </w:tcPr>
          <w:p w:rsidR="00EB6226" w:rsidRPr="00314FA4" w:rsidRDefault="00596CA3" w:rsidP="0040112E">
            <w:pPr>
              <w:spacing w:after="0" w:line="240" w:lineRule="auto"/>
              <w:jc w:val="right"/>
              <w:rPr>
                <w:rFonts w:ascii="Arial" w:eastAsia="Times New Roman" w:hAnsi="Arial" w:cs="Arial"/>
                <w:b/>
                <w:bCs/>
                <w:lang w:val="bs-Latn-BA" w:eastAsia="bs-Latn-BA"/>
              </w:rPr>
            </w:pPr>
            <w:r w:rsidRPr="00314FA4">
              <w:rPr>
                <w:rFonts w:ascii="Arial" w:eastAsia="Times New Roman" w:hAnsi="Arial" w:cs="Arial"/>
                <w:b/>
                <w:bCs/>
                <w:lang w:val="bs-Latn-BA" w:eastAsia="bs-Latn-BA"/>
              </w:rPr>
              <w:t>398.596</w:t>
            </w:r>
          </w:p>
        </w:tc>
        <w:tc>
          <w:tcPr>
            <w:tcW w:w="1917" w:type="dxa"/>
            <w:tcBorders>
              <w:top w:val="nil"/>
              <w:left w:val="nil"/>
              <w:bottom w:val="single" w:sz="4" w:space="0" w:color="auto"/>
              <w:right w:val="single" w:sz="4" w:space="0" w:color="auto"/>
            </w:tcBorders>
            <w:shd w:val="clear" w:color="000000" w:fill="D9D9D9"/>
            <w:noWrap/>
            <w:vAlign w:val="bottom"/>
            <w:hideMark/>
          </w:tcPr>
          <w:p w:rsidR="00EB6226" w:rsidRPr="00314FA4" w:rsidRDefault="00596CA3" w:rsidP="0040112E">
            <w:pPr>
              <w:spacing w:after="0" w:line="240" w:lineRule="auto"/>
              <w:jc w:val="right"/>
              <w:rPr>
                <w:rFonts w:ascii="Arial" w:eastAsia="Times New Roman" w:hAnsi="Arial" w:cs="Arial"/>
                <w:b/>
                <w:bCs/>
                <w:lang w:val="bs-Latn-BA" w:eastAsia="bs-Latn-BA"/>
              </w:rPr>
            </w:pPr>
            <w:r w:rsidRPr="00314FA4">
              <w:rPr>
                <w:rFonts w:ascii="Arial" w:eastAsia="Times New Roman" w:hAnsi="Arial" w:cs="Arial"/>
                <w:b/>
                <w:bCs/>
                <w:lang w:val="bs-Latn-BA" w:eastAsia="bs-Latn-BA"/>
              </w:rPr>
              <w:t>4</w:t>
            </w:r>
            <w:r w:rsidRPr="00314FA4">
              <w:rPr>
                <w:rFonts w:ascii="Arial" w:eastAsia="Times New Roman" w:hAnsi="Arial" w:cs="Arial"/>
                <w:b/>
                <w:bCs/>
                <w:lang w:val="bs-Latn-BA" w:eastAsia="bs-Latn-BA"/>
              </w:rPr>
              <w:t>98.596</w:t>
            </w:r>
          </w:p>
        </w:tc>
        <w:tc>
          <w:tcPr>
            <w:tcW w:w="1917" w:type="dxa"/>
            <w:tcBorders>
              <w:top w:val="nil"/>
              <w:left w:val="nil"/>
              <w:bottom w:val="single" w:sz="4" w:space="0" w:color="auto"/>
              <w:right w:val="single" w:sz="4" w:space="0" w:color="auto"/>
            </w:tcBorders>
            <w:shd w:val="clear" w:color="000000" w:fill="D9D9D9"/>
            <w:noWrap/>
            <w:vAlign w:val="bottom"/>
            <w:hideMark/>
          </w:tcPr>
          <w:p w:rsidR="00EB6226" w:rsidRPr="00314FA4" w:rsidRDefault="00596CA3" w:rsidP="0040112E">
            <w:pPr>
              <w:spacing w:after="0" w:line="240" w:lineRule="auto"/>
              <w:jc w:val="right"/>
              <w:rPr>
                <w:rFonts w:ascii="Arial" w:eastAsia="Times New Roman" w:hAnsi="Arial" w:cs="Arial"/>
                <w:b/>
                <w:bCs/>
                <w:lang w:val="bs-Latn-BA" w:eastAsia="bs-Latn-BA"/>
              </w:rPr>
            </w:pPr>
            <w:r w:rsidRPr="00314FA4">
              <w:rPr>
                <w:rFonts w:ascii="Arial" w:eastAsia="Times New Roman" w:hAnsi="Arial" w:cs="Arial"/>
                <w:b/>
                <w:bCs/>
                <w:lang w:val="bs-Latn-BA" w:eastAsia="bs-Latn-BA"/>
              </w:rPr>
              <w:t>4</w:t>
            </w:r>
            <w:r w:rsidR="0084384E" w:rsidRPr="00314FA4">
              <w:rPr>
                <w:rFonts w:ascii="Arial" w:eastAsia="Times New Roman" w:hAnsi="Arial" w:cs="Arial"/>
                <w:b/>
                <w:bCs/>
                <w:lang w:val="bs-Latn-BA" w:eastAsia="bs-Latn-BA"/>
              </w:rPr>
              <w:t>63.532</w:t>
            </w:r>
          </w:p>
        </w:tc>
      </w:tr>
    </w:tbl>
    <w:p w:rsidR="00EB6226" w:rsidRPr="00314FA4" w:rsidRDefault="00EB6226" w:rsidP="0040112E">
      <w:pPr>
        <w:spacing w:after="0" w:line="240" w:lineRule="auto"/>
        <w:jc w:val="both"/>
        <w:rPr>
          <w:rFonts w:ascii="Times New Roman" w:eastAsia="Times New Roman" w:hAnsi="Times New Roman" w:cs="Times New Roman"/>
          <w:b/>
          <w:sz w:val="24"/>
          <w:szCs w:val="24"/>
          <w:lang w:val="bs-Latn-BA"/>
        </w:rPr>
      </w:pPr>
    </w:p>
    <w:p w:rsidR="00EB6226" w:rsidRPr="00314FA4" w:rsidRDefault="00EB6226" w:rsidP="0040112E">
      <w:pPr>
        <w:spacing w:after="0" w:line="240" w:lineRule="auto"/>
        <w:jc w:val="both"/>
        <w:rPr>
          <w:rFonts w:ascii="Times New Roman" w:eastAsia="Times New Roman" w:hAnsi="Times New Roman" w:cs="Times New Roman"/>
          <w:b/>
          <w:sz w:val="24"/>
          <w:szCs w:val="24"/>
          <w:lang w:val="bs-Latn-BA"/>
        </w:rPr>
      </w:pPr>
    </w:p>
    <w:p w:rsidR="0040112E" w:rsidRPr="00314FA4" w:rsidRDefault="0040112E" w:rsidP="0040112E">
      <w:pPr>
        <w:spacing w:after="0" w:line="240" w:lineRule="auto"/>
        <w:jc w:val="both"/>
        <w:rPr>
          <w:rFonts w:ascii="Ebrima" w:eastAsia="Times New Roman" w:hAnsi="Ebrima" w:cs="Times New Roman"/>
          <w:b/>
          <w:sz w:val="24"/>
          <w:szCs w:val="24"/>
          <w:lang w:val="bs-Latn-BA"/>
        </w:rPr>
      </w:pPr>
      <w:r w:rsidRPr="00314FA4">
        <w:rPr>
          <w:rFonts w:ascii="Ebrima" w:eastAsia="Times New Roman" w:hAnsi="Ebrima" w:cs="Times New Roman"/>
          <w:b/>
          <w:sz w:val="24"/>
          <w:szCs w:val="24"/>
          <w:lang w:val="bs-Latn-BA"/>
        </w:rPr>
        <w:t>Porezi na plaću i radnu snagu (zaostale uplate)</w:t>
      </w:r>
    </w:p>
    <w:p w:rsidR="0040112E" w:rsidRPr="00314FA4" w:rsidRDefault="0040112E" w:rsidP="0040112E">
      <w:pPr>
        <w:spacing w:after="0" w:line="240" w:lineRule="auto"/>
        <w:jc w:val="both"/>
        <w:rPr>
          <w:rFonts w:ascii="Ebrima" w:eastAsia="Times New Roman" w:hAnsi="Ebrima" w:cs="Times New Roman"/>
          <w:b/>
          <w:sz w:val="24"/>
          <w:szCs w:val="24"/>
          <w:lang w:val="bs-Latn-BA"/>
        </w:rPr>
      </w:pPr>
    </w:p>
    <w:p w:rsidR="0040112E" w:rsidRPr="00314FA4" w:rsidRDefault="0040112E" w:rsidP="0040112E">
      <w:pPr>
        <w:spacing w:after="0" w:line="240" w:lineRule="auto"/>
        <w:jc w:val="both"/>
        <w:rPr>
          <w:rFonts w:ascii="Ebrima" w:eastAsia="Times New Roman" w:hAnsi="Ebrima" w:cs="Times New Roman"/>
          <w:sz w:val="24"/>
          <w:szCs w:val="24"/>
          <w:lang w:val="bs-Latn-BA"/>
        </w:rPr>
      </w:pPr>
      <w:r w:rsidRPr="00314FA4">
        <w:rPr>
          <w:rFonts w:ascii="Ebrima" w:eastAsia="Times New Roman" w:hAnsi="Ebrima" w:cs="Times New Roman"/>
          <w:sz w:val="24"/>
          <w:szCs w:val="24"/>
          <w:lang w:val="bs-Latn-BA"/>
        </w:rPr>
        <w:t xml:space="preserve">Prihodi po ovom osnovu predstavljaju zaostale obaveze po osnovu ranijeg Zakona o porezu na plaću koji je od 01.01.2009. godine prestao da važi stupanjem na snagu Zakona o porezu na dohodak („Službene novine Federacije BiH“, broj: 10/08, 9/10, 44/11, 07/13, 65/13), tako da se isti od 2009. godine evidentiraju </w:t>
      </w:r>
      <w:r w:rsidR="000444F6" w:rsidRPr="00314FA4">
        <w:rPr>
          <w:rFonts w:ascii="Ebrima" w:eastAsia="Times New Roman" w:hAnsi="Ebrima" w:cs="Times New Roman"/>
          <w:sz w:val="24"/>
          <w:szCs w:val="24"/>
          <w:lang w:val="bs-Latn-BA"/>
        </w:rPr>
        <w:t xml:space="preserve">ne obračunavaju već je donešen novi Zakon o porezu na dohodak. </w:t>
      </w:r>
      <w:r w:rsidRPr="00314FA4">
        <w:rPr>
          <w:rFonts w:ascii="Ebrima" w:eastAsia="Times New Roman" w:hAnsi="Ebrima" w:cs="Times New Roman"/>
          <w:sz w:val="24"/>
          <w:szCs w:val="24"/>
          <w:lang w:val="bs-Latn-BA"/>
        </w:rPr>
        <w:t xml:space="preserve">Poreze na plaću i radnu snagu čine: porezi na plaću i druga lična primanja i porezi na dodatna primanja. </w:t>
      </w:r>
    </w:p>
    <w:p w:rsidR="0040112E" w:rsidRPr="00314FA4" w:rsidRDefault="0040112E" w:rsidP="0040112E">
      <w:pPr>
        <w:spacing w:after="0" w:line="240" w:lineRule="auto"/>
        <w:jc w:val="both"/>
        <w:rPr>
          <w:rFonts w:ascii="Ebrima" w:eastAsia="Times New Roman" w:hAnsi="Ebrima" w:cs="Times New Roman"/>
          <w:sz w:val="24"/>
          <w:szCs w:val="24"/>
          <w:lang w:val="bs-Latn-BA"/>
        </w:rPr>
      </w:pPr>
    </w:p>
    <w:p w:rsidR="0040112E" w:rsidRPr="00314FA4" w:rsidRDefault="0040112E" w:rsidP="00EB6226">
      <w:pPr>
        <w:spacing w:after="0" w:line="240" w:lineRule="auto"/>
        <w:jc w:val="both"/>
        <w:rPr>
          <w:rFonts w:ascii="Ebrima" w:eastAsia="Times New Roman" w:hAnsi="Ebrima" w:cs="Times New Roman"/>
          <w:b/>
          <w:sz w:val="24"/>
          <w:szCs w:val="24"/>
          <w:lang w:val="bs-Latn-BA"/>
        </w:rPr>
      </w:pPr>
      <w:r w:rsidRPr="00314FA4">
        <w:rPr>
          <w:rFonts w:ascii="Ebrima" w:eastAsia="Times New Roman" w:hAnsi="Ebrima" w:cs="Times New Roman"/>
          <w:b/>
          <w:sz w:val="24"/>
          <w:szCs w:val="24"/>
          <w:lang w:val="bs-Latn-BA"/>
        </w:rPr>
        <w:t>NEPOREZNI PRIHODI</w:t>
      </w:r>
    </w:p>
    <w:p w:rsidR="0040112E" w:rsidRPr="00314FA4" w:rsidRDefault="0040112E" w:rsidP="00EB6226">
      <w:pPr>
        <w:spacing w:after="0" w:line="240" w:lineRule="auto"/>
        <w:jc w:val="both"/>
        <w:rPr>
          <w:rFonts w:ascii="Ebrima" w:eastAsia="Times New Roman" w:hAnsi="Ebrima" w:cs="Times New Roman"/>
          <w:b/>
          <w:sz w:val="24"/>
          <w:szCs w:val="24"/>
          <w:lang w:val="bs-Latn-BA"/>
        </w:rPr>
      </w:pPr>
    </w:p>
    <w:tbl>
      <w:tblPr>
        <w:tblW w:w="9589" w:type="dxa"/>
        <w:tblLook w:val="04A0" w:firstRow="1" w:lastRow="0" w:firstColumn="1" w:lastColumn="0" w:noHBand="0" w:noVBand="1"/>
      </w:tblPr>
      <w:tblGrid>
        <w:gridCol w:w="5572"/>
        <w:gridCol w:w="1398"/>
        <w:gridCol w:w="1339"/>
        <w:gridCol w:w="1280"/>
      </w:tblGrid>
      <w:tr w:rsidR="00196CB6" w:rsidRPr="00314FA4" w:rsidTr="0017409A">
        <w:trPr>
          <w:trHeight w:val="317"/>
        </w:trPr>
        <w:tc>
          <w:tcPr>
            <w:tcW w:w="557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7409A" w:rsidRPr="00314FA4" w:rsidRDefault="0017409A" w:rsidP="0017409A">
            <w:pPr>
              <w:spacing w:after="0" w:line="240" w:lineRule="auto"/>
              <w:jc w:val="center"/>
              <w:rPr>
                <w:rFonts w:ascii="Arial" w:eastAsia="Times New Roman" w:hAnsi="Arial" w:cs="Arial"/>
                <w:b/>
                <w:bCs/>
                <w:sz w:val="16"/>
                <w:szCs w:val="16"/>
              </w:rPr>
            </w:pPr>
            <w:r w:rsidRPr="00314FA4">
              <w:rPr>
                <w:rFonts w:ascii="Arial" w:eastAsia="Times New Roman" w:hAnsi="Arial" w:cs="Arial"/>
                <w:b/>
                <w:bCs/>
                <w:sz w:val="16"/>
                <w:szCs w:val="16"/>
              </w:rPr>
              <w:t>O P I S</w:t>
            </w:r>
          </w:p>
        </w:tc>
        <w:tc>
          <w:tcPr>
            <w:tcW w:w="139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7409A" w:rsidRPr="00314FA4" w:rsidRDefault="00596CA3" w:rsidP="0017409A">
            <w:pPr>
              <w:spacing w:after="0" w:line="240" w:lineRule="auto"/>
              <w:jc w:val="center"/>
              <w:rPr>
                <w:rFonts w:ascii="Arial" w:eastAsia="Times New Roman" w:hAnsi="Arial" w:cs="Arial"/>
                <w:b/>
                <w:bCs/>
                <w:sz w:val="18"/>
                <w:szCs w:val="18"/>
              </w:rPr>
            </w:pPr>
            <w:r w:rsidRPr="00314FA4">
              <w:rPr>
                <w:rFonts w:ascii="Arial" w:eastAsia="Times New Roman" w:hAnsi="Arial" w:cs="Arial"/>
                <w:b/>
                <w:bCs/>
                <w:sz w:val="18"/>
                <w:szCs w:val="18"/>
              </w:rPr>
              <w:t>Budžet za 2024</w:t>
            </w:r>
            <w:r w:rsidR="0017409A" w:rsidRPr="00314FA4">
              <w:rPr>
                <w:rFonts w:ascii="Arial" w:eastAsia="Times New Roman" w:hAnsi="Arial" w:cs="Arial"/>
                <w:b/>
                <w:bCs/>
                <w:sz w:val="18"/>
                <w:szCs w:val="18"/>
              </w:rPr>
              <w:t>.godinu</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7409A" w:rsidRPr="00314FA4" w:rsidRDefault="00596CA3" w:rsidP="0017409A">
            <w:pPr>
              <w:spacing w:after="0" w:line="240" w:lineRule="auto"/>
              <w:jc w:val="center"/>
              <w:rPr>
                <w:rFonts w:ascii="Arial" w:eastAsia="Times New Roman" w:hAnsi="Arial" w:cs="Arial"/>
                <w:b/>
                <w:bCs/>
                <w:sz w:val="18"/>
                <w:szCs w:val="18"/>
              </w:rPr>
            </w:pPr>
            <w:r w:rsidRPr="00314FA4">
              <w:rPr>
                <w:rFonts w:ascii="Arial" w:eastAsia="Times New Roman" w:hAnsi="Arial" w:cs="Arial"/>
                <w:b/>
                <w:bCs/>
                <w:sz w:val="18"/>
                <w:szCs w:val="18"/>
              </w:rPr>
              <w:t>Budžet za 2025</w:t>
            </w:r>
            <w:r w:rsidR="0017409A" w:rsidRPr="00314FA4">
              <w:rPr>
                <w:rFonts w:ascii="Arial" w:eastAsia="Times New Roman" w:hAnsi="Arial" w:cs="Arial"/>
                <w:b/>
                <w:bCs/>
                <w:sz w:val="18"/>
                <w:szCs w:val="18"/>
              </w:rPr>
              <w:t>.godinu</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7409A" w:rsidRPr="00314FA4" w:rsidRDefault="00596CA3" w:rsidP="0017409A">
            <w:pPr>
              <w:spacing w:after="0" w:line="240" w:lineRule="auto"/>
              <w:jc w:val="center"/>
              <w:rPr>
                <w:rFonts w:ascii="Arial" w:eastAsia="Times New Roman" w:hAnsi="Arial" w:cs="Arial"/>
                <w:b/>
                <w:bCs/>
                <w:sz w:val="18"/>
                <w:szCs w:val="18"/>
              </w:rPr>
            </w:pPr>
            <w:r w:rsidRPr="00314FA4">
              <w:rPr>
                <w:rFonts w:ascii="Arial" w:eastAsia="Times New Roman" w:hAnsi="Arial" w:cs="Arial"/>
                <w:b/>
                <w:bCs/>
                <w:sz w:val="18"/>
                <w:szCs w:val="18"/>
              </w:rPr>
              <w:t>Budžet za 2026</w:t>
            </w:r>
            <w:r w:rsidR="0017409A" w:rsidRPr="00314FA4">
              <w:rPr>
                <w:rFonts w:ascii="Arial" w:eastAsia="Times New Roman" w:hAnsi="Arial" w:cs="Arial"/>
                <w:b/>
                <w:bCs/>
                <w:sz w:val="18"/>
                <w:szCs w:val="18"/>
              </w:rPr>
              <w:t>.godinu</w:t>
            </w:r>
          </w:p>
        </w:tc>
      </w:tr>
      <w:tr w:rsidR="00196CB6" w:rsidRPr="00314FA4" w:rsidTr="0017409A">
        <w:trPr>
          <w:trHeight w:val="317"/>
        </w:trPr>
        <w:tc>
          <w:tcPr>
            <w:tcW w:w="5572" w:type="dxa"/>
            <w:vMerge/>
            <w:tcBorders>
              <w:top w:val="single" w:sz="4" w:space="0" w:color="auto"/>
              <w:left w:val="single" w:sz="4" w:space="0" w:color="auto"/>
              <w:bottom w:val="single" w:sz="4" w:space="0" w:color="auto"/>
              <w:right w:val="single" w:sz="4" w:space="0" w:color="auto"/>
            </w:tcBorders>
            <w:vAlign w:val="center"/>
            <w:hideMark/>
          </w:tcPr>
          <w:p w:rsidR="0017409A" w:rsidRPr="00314FA4" w:rsidRDefault="0017409A" w:rsidP="0017409A">
            <w:pPr>
              <w:spacing w:after="0" w:line="240" w:lineRule="auto"/>
              <w:rPr>
                <w:rFonts w:ascii="Arial" w:eastAsia="Times New Roman" w:hAnsi="Arial" w:cs="Arial"/>
                <w:b/>
                <w:bCs/>
                <w:sz w:val="16"/>
                <w:szCs w:val="16"/>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17409A" w:rsidRPr="00314FA4" w:rsidRDefault="0017409A" w:rsidP="0017409A">
            <w:pPr>
              <w:spacing w:after="0" w:line="240" w:lineRule="auto"/>
              <w:rPr>
                <w:rFonts w:ascii="Arial" w:eastAsia="Times New Roman" w:hAnsi="Arial" w:cs="Arial"/>
                <w:b/>
                <w:bCs/>
                <w:sz w:val="18"/>
                <w:szCs w:val="18"/>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17409A" w:rsidRPr="00314FA4" w:rsidRDefault="0017409A" w:rsidP="0017409A">
            <w:pPr>
              <w:spacing w:after="0" w:line="240" w:lineRule="auto"/>
              <w:rPr>
                <w:rFonts w:ascii="Arial" w:eastAsia="Times New Roman" w:hAnsi="Arial" w:cs="Arial"/>
                <w:b/>
                <w:bCs/>
                <w:sz w:val="18"/>
                <w:szCs w:val="18"/>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17409A" w:rsidRPr="00314FA4" w:rsidRDefault="0017409A" w:rsidP="0017409A">
            <w:pPr>
              <w:spacing w:after="0" w:line="240" w:lineRule="auto"/>
              <w:rPr>
                <w:rFonts w:ascii="Arial" w:eastAsia="Times New Roman" w:hAnsi="Arial" w:cs="Arial"/>
                <w:b/>
                <w:bCs/>
                <w:sz w:val="18"/>
                <w:szCs w:val="18"/>
              </w:rPr>
            </w:pPr>
          </w:p>
        </w:tc>
      </w:tr>
      <w:tr w:rsidR="00196CB6" w:rsidRPr="00314FA4" w:rsidTr="0017409A">
        <w:trPr>
          <w:trHeight w:val="317"/>
        </w:trPr>
        <w:tc>
          <w:tcPr>
            <w:tcW w:w="5572" w:type="dxa"/>
            <w:vMerge/>
            <w:tcBorders>
              <w:top w:val="single" w:sz="4" w:space="0" w:color="auto"/>
              <w:left w:val="single" w:sz="4" w:space="0" w:color="auto"/>
              <w:bottom w:val="single" w:sz="4" w:space="0" w:color="auto"/>
              <w:right w:val="single" w:sz="4" w:space="0" w:color="auto"/>
            </w:tcBorders>
            <w:vAlign w:val="center"/>
            <w:hideMark/>
          </w:tcPr>
          <w:p w:rsidR="0017409A" w:rsidRPr="00314FA4" w:rsidRDefault="0017409A" w:rsidP="0017409A">
            <w:pPr>
              <w:spacing w:after="0" w:line="240" w:lineRule="auto"/>
              <w:rPr>
                <w:rFonts w:ascii="Arial" w:eastAsia="Times New Roman" w:hAnsi="Arial" w:cs="Arial"/>
                <w:b/>
                <w:bCs/>
                <w:sz w:val="16"/>
                <w:szCs w:val="16"/>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17409A" w:rsidRPr="00314FA4" w:rsidRDefault="0017409A" w:rsidP="0017409A">
            <w:pPr>
              <w:spacing w:after="0" w:line="240" w:lineRule="auto"/>
              <w:rPr>
                <w:rFonts w:ascii="Arial" w:eastAsia="Times New Roman" w:hAnsi="Arial" w:cs="Arial"/>
                <w:b/>
                <w:bCs/>
                <w:sz w:val="18"/>
                <w:szCs w:val="18"/>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17409A" w:rsidRPr="00314FA4" w:rsidRDefault="0017409A" w:rsidP="0017409A">
            <w:pPr>
              <w:spacing w:after="0" w:line="240" w:lineRule="auto"/>
              <w:rPr>
                <w:rFonts w:ascii="Arial" w:eastAsia="Times New Roman" w:hAnsi="Arial" w:cs="Arial"/>
                <w:b/>
                <w:bCs/>
                <w:sz w:val="18"/>
                <w:szCs w:val="18"/>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17409A" w:rsidRPr="00314FA4" w:rsidRDefault="0017409A" w:rsidP="0017409A">
            <w:pPr>
              <w:spacing w:after="0" w:line="240" w:lineRule="auto"/>
              <w:rPr>
                <w:rFonts w:ascii="Arial" w:eastAsia="Times New Roman" w:hAnsi="Arial" w:cs="Arial"/>
                <w:b/>
                <w:bCs/>
                <w:sz w:val="18"/>
                <w:szCs w:val="18"/>
              </w:rPr>
            </w:pPr>
          </w:p>
        </w:tc>
      </w:tr>
      <w:tr w:rsidR="00196CB6" w:rsidRPr="00314FA4" w:rsidTr="0017409A">
        <w:trPr>
          <w:trHeight w:val="317"/>
        </w:trPr>
        <w:tc>
          <w:tcPr>
            <w:tcW w:w="5572" w:type="dxa"/>
            <w:vMerge/>
            <w:tcBorders>
              <w:top w:val="single" w:sz="4" w:space="0" w:color="auto"/>
              <w:left w:val="single" w:sz="4" w:space="0" w:color="auto"/>
              <w:bottom w:val="single" w:sz="4" w:space="0" w:color="auto"/>
              <w:right w:val="single" w:sz="4" w:space="0" w:color="auto"/>
            </w:tcBorders>
            <w:vAlign w:val="center"/>
            <w:hideMark/>
          </w:tcPr>
          <w:p w:rsidR="0017409A" w:rsidRPr="00314FA4" w:rsidRDefault="0017409A" w:rsidP="0017409A">
            <w:pPr>
              <w:spacing w:after="0" w:line="240" w:lineRule="auto"/>
              <w:rPr>
                <w:rFonts w:ascii="Arial" w:eastAsia="Times New Roman" w:hAnsi="Arial" w:cs="Arial"/>
                <w:b/>
                <w:bCs/>
                <w:sz w:val="16"/>
                <w:szCs w:val="16"/>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17409A" w:rsidRPr="00314FA4" w:rsidRDefault="0017409A" w:rsidP="0017409A">
            <w:pPr>
              <w:spacing w:after="0" w:line="240" w:lineRule="auto"/>
              <w:rPr>
                <w:rFonts w:ascii="Arial" w:eastAsia="Times New Roman" w:hAnsi="Arial" w:cs="Arial"/>
                <w:b/>
                <w:bCs/>
                <w:sz w:val="18"/>
                <w:szCs w:val="18"/>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17409A" w:rsidRPr="00314FA4" w:rsidRDefault="0017409A" w:rsidP="0017409A">
            <w:pPr>
              <w:spacing w:after="0" w:line="240" w:lineRule="auto"/>
              <w:rPr>
                <w:rFonts w:ascii="Arial" w:eastAsia="Times New Roman" w:hAnsi="Arial" w:cs="Arial"/>
                <w:b/>
                <w:bCs/>
                <w:sz w:val="18"/>
                <w:szCs w:val="18"/>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17409A" w:rsidRPr="00314FA4" w:rsidRDefault="0017409A" w:rsidP="0017409A">
            <w:pPr>
              <w:spacing w:after="0" w:line="240" w:lineRule="auto"/>
              <w:rPr>
                <w:rFonts w:ascii="Arial" w:eastAsia="Times New Roman" w:hAnsi="Arial" w:cs="Arial"/>
                <w:b/>
                <w:bCs/>
                <w:sz w:val="18"/>
                <w:szCs w:val="18"/>
              </w:rPr>
            </w:pPr>
          </w:p>
        </w:tc>
      </w:tr>
      <w:tr w:rsidR="00196CB6" w:rsidRPr="00314FA4" w:rsidTr="0017409A">
        <w:trPr>
          <w:trHeight w:val="317"/>
        </w:trPr>
        <w:tc>
          <w:tcPr>
            <w:tcW w:w="5572" w:type="dxa"/>
            <w:tcBorders>
              <w:top w:val="nil"/>
              <w:left w:val="single" w:sz="4" w:space="0" w:color="auto"/>
              <w:bottom w:val="single" w:sz="4" w:space="0" w:color="auto"/>
              <w:right w:val="single" w:sz="4" w:space="0" w:color="auto"/>
            </w:tcBorders>
            <w:shd w:val="clear" w:color="auto" w:fill="auto"/>
            <w:noWrap/>
            <w:vAlign w:val="bottom"/>
            <w:hideMark/>
          </w:tcPr>
          <w:p w:rsidR="0017409A" w:rsidRPr="00314FA4" w:rsidRDefault="0017409A" w:rsidP="0017409A">
            <w:pPr>
              <w:spacing w:after="0" w:line="240" w:lineRule="auto"/>
              <w:rPr>
                <w:rFonts w:ascii="Arial" w:eastAsia="Times New Roman" w:hAnsi="Arial" w:cs="Arial"/>
                <w:sz w:val="20"/>
                <w:szCs w:val="20"/>
              </w:rPr>
            </w:pPr>
            <w:r w:rsidRPr="00314FA4">
              <w:rPr>
                <w:rFonts w:ascii="Arial" w:eastAsia="Times New Roman" w:hAnsi="Arial" w:cs="Arial"/>
                <w:sz w:val="20"/>
                <w:szCs w:val="20"/>
              </w:rPr>
              <w:t>Prihodi od preduzet.aktiv.i imov.i prih.od poz.k.r</w:t>
            </w:r>
          </w:p>
        </w:tc>
        <w:tc>
          <w:tcPr>
            <w:tcW w:w="1398" w:type="dxa"/>
            <w:tcBorders>
              <w:top w:val="nil"/>
              <w:left w:val="nil"/>
              <w:bottom w:val="single" w:sz="4" w:space="0" w:color="auto"/>
              <w:right w:val="single" w:sz="4" w:space="0" w:color="auto"/>
            </w:tcBorders>
            <w:shd w:val="clear" w:color="auto" w:fill="auto"/>
            <w:noWrap/>
            <w:vAlign w:val="bottom"/>
            <w:hideMark/>
          </w:tcPr>
          <w:p w:rsidR="0017409A" w:rsidRPr="00314FA4" w:rsidRDefault="00596CA3" w:rsidP="0017409A">
            <w:pPr>
              <w:spacing w:after="0" w:line="240" w:lineRule="auto"/>
              <w:jc w:val="right"/>
              <w:rPr>
                <w:rFonts w:ascii="Arial" w:eastAsia="Times New Roman" w:hAnsi="Arial" w:cs="Arial"/>
                <w:sz w:val="20"/>
                <w:szCs w:val="20"/>
              </w:rPr>
            </w:pPr>
            <w:r w:rsidRPr="00314FA4">
              <w:rPr>
                <w:rFonts w:ascii="Arial" w:eastAsia="Times New Roman" w:hAnsi="Arial" w:cs="Arial"/>
                <w:sz w:val="20"/>
                <w:szCs w:val="20"/>
              </w:rPr>
              <w:t>238.723</w:t>
            </w:r>
          </w:p>
        </w:tc>
        <w:tc>
          <w:tcPr>
            <w:tcW w:w="1339" w:type="dxa"/>
            <w:tcBorders>
              <w:top w:val="nil"/>
              <w:left w:val="nil"/>
              <w:bottom w:val="single" w:sz="4" w:space="0" w:color="auto"/>
              <w:right w:val="single" w:sz="4" w:space="0" w:color="auto"/>
            </w:tcBorders>
            <w:shd w:val="clear" w:color="auto" w:fill="auto"/>
            <w:noWrap/>
            <w:vAlign w:val="bottom"/>
            <w:hideMark/>
          </w:tcPr>
          <w:p w:rsidR="0017409A" w:rsidRPr="00314FA4" w:rsidRDefault="00596CA3" w:rsidP="0017409A">
            <w:pPr>
              <w:spacing w:after="0" w:line="240" w:lineRule="auto"/>
              <w:jc w:val="right"/>
              <w:rPr>
                <w:rFonts w:ascii="Arial" w:eastAsia="Times New Roman" w:hAnsi="Arial" w:cs="Arial"/>
                <w:sz w:val="20"/>
                <w:szCs w:val="20"/>
              </w:rPr>
            </w:pPr>
            <w:r w:rsidRPr="00314FA4">
              <w:rPr>
                <w:rFonts w:ascii="Arial" w:eastAsia="Times New Roman" w:hAnsi="Arial" w:cs="Arial"/>
                <w:sz w:val="20"/>
                <w:szCs w:val="20"/>
              </w:rPr>
              <w:t>238.723</w:t>
            </w:r>
          </w:p>
        </w:tc>
        <w:tc>
          <w:tcPr>
            <w:tcW w:w="1280" w:type="dxa"/>
            <w:tcBorders>
              <w:top w:val="nil"/>
              <w:left w:val="nil"/>
              <w:bottom w:val="single" w:sz="4" w:space="0" w:color="auto"/>
              <w:right w:val="single" w:sz="4" w:space="0" w:color="auto"/>
            </w:tcBorders>
            <w:shd w:val="clear" w:color="auto" w:fill="auto"/>
            <w:noWrap/>
            <w:vAlign w:val="bottom"/>
            <w:hideMark/>
          </w:tcPr>
          <w:p w:rsidR="0017409A" w:rsidRPr="00314FA4" w:rsidRDefault="00596CA3" w:rsidP="0017409A">
            <w:pPr>
              <w:spacing w:after="0" w:line="240" w:lineRule="auto"/>
              <w:jc w:val="right"/>
              <w:rPr>
                <w:rFonts w:ascii="Arial" w:eastAsia="Times New Roman" w:hAnsi="Arial" w:cs="Arial"/>
                <w:sz w:val="20"/>
                <w:szCs w:val="20"/>
              </w:rPr>
            </w:pPr>
            <w:r w:rsidRPr="00314FA4">
              <w:rPr>
                <w:rFonts w:ascii="Arial" w:eastAsia="Times New Roman" w:hAnsi="Arial" w:cs="Arial"/>
                <w:sz w:val="20"/>
                <w:szCs w:val="20"/>
              </w:rPr>
              <w:t>238.723</w:t>
            </w:r>
          </w:p>
        </w:tc>
      </w:tr>
      <w:tr w:rsidR="00196CB6" w:rsidRPr="00314FA4" w:rsidTr="0017409A">
        <w:trPr>
          <w:trHeight w:val="317"/>
        </w:trPr>
        <w:tc>
          <w:tcPr>
            <w:tcW w:w="5572" w:type="dxa"/>
            <w:tcBorders>
              <w:top w:val="nil"/>
              <w:left w:val="single" w:sz="4" w:space="0" w:color="auto"/>
              <w:bottom w:val="single" w:sz="4" w:space="0" w:color="auto"/>
              <w:right w:val="single" w:sz="4" w:space="0" w:color="auto"/>
            </w:tcBorders>
            <w:shd w:val="clear" w:color="auto" w:fill="auto"/>
            <w:noWrap/>
            <w:vAlign w:val="bottom"/>
            <w:hideMark/>
          </w:tcPr>
          <w:p w:rsidR="0017409A" w:rsidRPr="00314FA4" w:rsidRDefault="0017409A" w:rsidP="0017409A">
            <w:pPr>
              <w:spacing w:after="0" w:line="240" w:lineRule="auto"/>
              <w:rPr>
                <w:rFonts w:ascii="Arial" w:eastAsia="Times New Roman" w:hAnsi="Arial" w:cs="Arial"/>
                <w:sz w:val="20"/>
                <w:szCs w:val="20"/>
              </w:rPr>
            </w:pPr>
            <w:r w:rsidRPr="00314FA4">
              <w:rPr>
                <w:rFonts w:ascii="Arial" w:eastAsia="Times New Roman" w:hAnsi="Arial" w:cs="Arial"/>
                <w:sz w:val="20"/>
                <w:szCs w:val="20"/>
              </w:rPr>
              <w:t>Naknade i takse i prihodi od pružanja javnih usluga</w:t>
            </w:r>
          </w:p>
        </w:tc>
        <w:tc>
          <w:tcPr>
            <w:tcW w:w="1398" w:type="dxa"/>
            <w:tcBorders>
              <w:top w:val="nil"/>
              <w:left w:val="nil"/>
              <w:bottom w:val="single" w:sz="4" w:space="0" w:color="auto"/>
              <w:right w:val="single" w:sz="4" w:space="0" w:color="auto"/>
            </w:tcBorders>
            <w:shd w:val="clear" w:color="auto" w:fill="auto"/>
            <w:noWrap/>
            <w:vAlign w:val="bottom"/>
            <w:hideMark/>
          </w:tcPr>
          <w:p w:rsidR="0017409A" w:rsidRPr="00314FA4" w:rsidRDefault="00596CA3" w:rsidP="0017409A">
            <w:pPr>
              <w:spacing w:after="0" w:line="240" w:lineRule="auto"/>
              <w:jc w:val="right"/>
              <w:rPr>
                <w:rFonts w:ascii="Arial" w:eastAsia="Times New Roman" w:hAnsi="Arial" w:cs="Arial"/>
                <w:sz w:val="20"/>
                <w:szCs w:val="20"/>
              </w:rPr>
            </w:pPr>
            <w:r w:rsidRPr="00314FA4">
              <w:rPr>
                <w:rFonts w:ascii="Arial" w:eastAsia="Times New Roman" w:hAnsi="Arial" w:cs="Arial"/>
                <w:sz w:val="20"/>
                <w:szCs w:val="20"/>
              </w:rPr>
              <w:t>2.792.863</w:t>
            </w:r>
          </w:p>
        </w:tc>
        <w:tc>
          <w:tcPr>
            <w:tcW w:w="1339" w:type="dxa"/>
            <w:tcBorders>
              <w:top w:val="nil"/>
              <w:left w:val="nil"/>
              <w:bottom w:val="single" w:sz="4" w:space="0" w:color="auto"/>
              <w:right w:val="single" w:sz="4" w:space="0" w:color="auto"/>
            </w:tcBorders>
            <w:shd w:val="clear" w:color="auto" w:fill="auto"/>
            <w:noWrap/>
            <w:vAlign w:val="bottom"/>
            <w:hideMark/>
          </w:tcPr>
          <w:p w:rsidR="0017409A" w:rsidRPr="00314FA4" w:rsidRDefault="00596CA3" w:rsidP="0017409A">
            <w:pPr>
              <w:spacing w:after="0" w:line="240" w:lineRule="auto"/>
              <w:jc w:val="right"/>
              <w:rPr>
                <w:rFonts w:ascii="Arial" w:eastAsia="Times New Roman" w:hAnsi="Arial" w:cs="Arial"/>
                <w:sz w:val="20"/>
                <w:szCs w:val="20"/>
              </w:rPr>
            </w:pPr>
            <w:r w:rsidRPr="00314FA4">
              <w:rPr>
                <w:rFonts w:ascii="Arial" w:eastAsia="Times New Roman" w:hAnsi="Arial" w:cs="Arial"/>
                <w:sz w:val="20"/>
                <w:szCs w:val="20"/>
              </w:rPr>
              <w:t>2.886.163</w:t>
            </w:r>
          </w:p>
        </w:tc>
        <w:tc>
          <w:tcPr>
            <w:tcW w:w="1280" w:type="dxa"/>
            <w:tcBorders>
              <w:top w:val="nil"/>
              <w:left w:val="nil"/>
              <w:bottom w:val="single" w:sz="4" w:space="0" w:color="auto"/>
              <w:right w:val="single" w:sz="4" w:space="0" w:color="auto"/>
            </w:tcBorders>
            <w:shd w:val="clear" w:color="auto" w:fill="auto"/>
            <w:noWrap/>
            <w:vAlign w:val="bottom"/>
            <w:hideMark/>
          </w:tcPr>
          <w:p w:rsidR="0017409A" w:rsidRPr="00314FA4" w:rsidRDefault="00596CA3" w:rsidP="0017409A">
            <w:pPr>
              <w:spacing w:after="0" w:line="240" w:lineRule="auto"/>
              <w:jc w:val="right"/>
              <w:rPr>
                <w:rFonts w:ascii="Arial" w:eastAsia="Times New Roman" w:hAnsi="Arial" w:cs="Arial"/>
                <w:sz w:val="20"/>
                <w:szCs w:val="20"/>
              </w:rPr>
            </w:pPr>
            <w:r w:rsidRPr="00314FA4">
              <w:rPr>
                <w:rFonts w:ascii="Arial" w:eastAsia="Times New Roman" w:hAnsi="Arial" w:cs="Arial"/>
                <w:sz w:val="20"/>
                <w:szCs w:val="20"/>
              </w:rPr>
              <w:t>2.944.163</w:t>
            </w:r>
          </w:p>
        </w:tc>
      </w:tr>
      <w:tr w:rsidR="0017409A" w:rsidRPr="00314FA4" w:rsidTr="0017409A">
        <w:trPr>
          <w:trHeight w:val="317"/>
        </w:trPr>
        <w:tc>
          <w:tcPr>
            <w:tcW w:w="5572" w:type="dxa"/>
            <w:tcBorders>
              <w:top w:val="nil"/>
              <w:left w:val="single" w:sz="4" w:space="0" w:color="auto"/>
              <w:bottom w:val="single" w:sz="4" w:space="0" w:color="auto"/>
              <w:right w:val="single" w:sz="4" w:space="0" w:color="auto"/>
            </w:tcBorders>
            <w:shd w:val="clear" w:color="auto" w:fill="auto"/>
            <w:noWrap/>
            <w:vAlign w:val="bottom"/>
            <w:hideMark/>
          </w:tcPr>
          <w:p w:rsidR="0017409A" w:rsidRPr="00314FA4" w:rsidRDefault="0017409A" w:rsidP="0017409A">
            <w:pPr>
              <w:spacing w:after="0" w:line="240" w:lineRule="auto"/>
              <w:rPr>
                <w:rFonts w:ascii="Arial" w:eastAsia="Times New Roman" w:hAnsi="Arial" w:cs="Arial"/>
                <w:sz w:val="20"/>
                <w:szCs w:val="20"/>
              </w:rPr>
            </w:pPr>
            <w:r w:rsidRPr="00314FA4">
              <w:rPr>
                <w:rFonts w:ascii="Arial" w:eastAsia="Times New Roman" w:hAnsi="Arial" w:cs="Arial"/>
                <w:sz w:val="20"/>
                <w:szCs w:val="20"/>
              </w:rPr>
              <w:t>Novčane kazne (neporezne prirode)</w:t>
            </w:r>
          </w:p>
        </w:tc>
        <w:tc>
          <w:tcPr>
            <w:tcW w:w="1398" w:type="dxa"/>
            <w:tcBorders>
              <w:top w:val="nil"/>
              <w:left w:val="nil"/>
              <w:bottom w:val="single" w:sz="4" w:space="0" w:color="auto"/>
              <w:right w:val="single" w:sz="4" w:space="0" w:color="auto"/>
            </w:tcBorders>
            <w:shd w:val="clear" w:color="auto" w:fill="auto"/>
            <w:noWrap/>
            <w:vAlign w:val="bottom"/>
            <w:hideMark/>
          </w:tcPr>
          <w:p w:rsidR="0017409A" w:rsidRPr="00314FA4" w:rsidRDefault="00596CA3" w:rsidP="0017409A">
            <w:pPr>
              <w:spacing w:after="0" w:line="240" w:lineRule="auto"/>
              <w:jc w:val="right"/>
              <w:rPr>
                <w:rFonts w:ascii="Arial" w:eastAsia="Times New Roman" w:hAnsi="Arial" w:cs="Arial"/>
                <w:sz w:val="20"/>
                <w:szCs w:val="20"/>
              </w:rPr>
            </w:pPr>
            <w:r w:rsidRPr="00314FA4">
              <w:rPr>
                <w:rFonts w:ascii="Arial" w:eastAsia="Times New Roman" w:hAnsi="Arial" w:cs="Arial"/>
                <w:sz w:val="20"/>
                <w:szCs w:val="20"/>
              </w:rPr>
              <w:t>417.000</w:t>
            </w:r>
          </w:p>
        </w:tc>
        <w:tc>
          <w:tcPr>
            <w:tcW w:w="1339" w:type="dxa"/>
            <w:tcBorders>
              <w:top w:val="nil"/>
              <w:left w:val="nil"/>
              <w:bottom w:val="single" w:sz="4" w:space="0" w:color="auto"/>
              <w:right w:val="single" w:sz="4" w:space="0" w:color="auto"/>
            </w:tcBorders>
            <w:shd w:val="clear" w:color="auto" w:fill="auto"/>
            <w:noWrap/>
            <w:vAlign w:val="bottom"/>
            <w:hideMark/>
          </w:tcPr>
          <w:p w:rsidR="0017409A" w:rsidRPr="00314FA4" w:rsidRDefault="00596CA3" w:rsidP="0017409A">
            <w:pPr>
              <w:spacing w:after="0" w:line="240" w:lineRule="auto"/>
              <w:jc w:val="right"/>
              <w:rPr>
                <w:rFonts w:ascii="Arial" w:eastAsia="Times New Roman" w:hAnsi="Arial" w:cs="Arial"/>
                <w:sz w:val="20"/>
                <w:szCs w:val="20"/>
              </w:rPr>
            </w:pPr>
            <w:r w:rsidRPr="00314FA4">
              <w:rPr>
                <w:rFonts w:ascii="Arial" w:eastAsia="Times New Roman" w:hAnsi="Arial" w:cs="Arial"/>
                <w:sz w:val="20"/>
                <w:szCs w:val="20"/>
              </w:rPr>
              <w:t>427.000</w:t>
            </w:r>
          </w:p>
        </w:tc>
        <w:tc>
          <w:tcPr>
            <w:tcW w:w="1280" w:type="dxa"/>
            <w:tcBorders>
              <w:top w:val="nil"/>
              <w:left w:val="nil"/>
              <w:bottom w:val="single" w:sz="4" w:space="0" w:color="auto"/>
              <w:right w:val="single" w:sz="4" w:space="0" w:color="auto"/>
            </w:tcBorders>
            <w:shd w:val="clear" w:color="auto" w:fill="auto"/>
            <w:noWrap/>
            <w:vAlign w:val="bottom"/>
            <w:hideMark/>
          </w:tcPr>
          <w:p w:rsidR="0017409A" w:rsidRPr="00314FA4" w:rsidRDefault="00596CA3" w:rsidP="0017409A">
            <w:pPr>
              <w:spacing w:after="0" w:line="240" w:lineRule="auto"/>
              <w:jc w:val="right"/>
              <w:rPr>
                <w:rFonts w:ascii="Arial" w:eastAsia="Times New Roman" w:hAnsi="Arial" w:cs="Arial"/>
                <w:sz w:val="20"/>
                <w:szCs w:val="20"/>
              </w:rPr>
            </w:pPr>
            <w:r w:rsidRPr="00314FA4">
              <w:rPr>
                <w:rFonts w:ascii="Arial" w:eastAsia="Times New Roman" w:hAnsi="Arial" w:cs="Arial"/>
                <w:sz w:val="20"/>
                <w:szCs w:val="20"/>
              </w:rPr>
              <w:t>432.000</w:t>
            </w:r>
          </w:p>
        </w:tc>
      </w:tr>
    </w:tbl>
    <w:p w:rsidR="0040112E" w:rsidRPr="00314FA4" w:rsidRDefault="0040112E" w:rsidP="00EB6226">
      <w:pPr>
        <w:spacing w:after="0" w:line="240" w:lineRule="auto"/>
        <w:jc w:val="both"/>
        <w:rPr>
          <w:rFonts w:ascii="Ebrima" w:eastAsia="Times New Roman" w:hAnsi="Ebrima" w:cs="Times New Roman"/>
          <w:b/>
          <w:bCs/>
          <w:iCs/>
          <w:sz w:val="24"/>
          <w:szCs w:val="24"/>
          <w:lang w:val="bs-Latn-BA"/>
        </w:rPr>
      </w:pPr>
    </w:p>
    <w:p w:rsidR="0040112E" w:rsidRPr="00314FA4" w:rsidRDefault="0040112E" w:rsidP="00EB6226">
      <w:pPr>
        <w:spacing w:after="0" w:line="240" w:lineRule="auto"/>
        <w:jc w:val="both"/>
        <w:rPr>
          <w:rFonts w:ascii="Ebrima" w:eastAsia="Times New Roman" w:hAnsi="Ebrima" w:cs="Times New Roman"/>
          <w:sz w:val="24"/>
          <w:szCs w:val="24"/>
          <w:lang w:val="bs-Latn-BA"/>
        </w:rPr>
      </w:pPr>
      <w:r w:rsidRPr="00314FA4">
        <w:rPr>
          <w:rFonts w:ascii="Ebrima" w:eastAsia="Times New Roman" w:hAnsi="Ebrima" w:cs="Times New Roman"/>
          <w:sz w:val="24"/>
          <w:szCs w:val="24"/>
          <w:lang w:val="bs-Latn-BA"/>
        </w:rPr>
        <w:t xml:space="preserve">Najznačajnije kategorije neporeznih prihoda čine </w:t>
      </w:r>
      <w:r w:rsidRPr="00314FA4">
        <w:rPr>
          <w:rFonts w:ascii="Ebrima" w:eastAsia="Times New Roman" w:hAnsi="Ebrima" w:cs="Times New Roman"/>
          <w:b/>
          <w:sz w:val="24"/>
          <w:szCs w:val="24"/>
          <w:lang w:val="bs-Latn-BA"/>
        </w:rPr>
        <w:t xml:space="preserve">Naknade od taksi i prihoda od pružanja javnih usluga, </w:t>
      </w:r>
      <w:r w:rsidRPr="00314FA4">
        <w:rPr>
          <w:rFonts w:ascii="Ebrima" w:eastAsia="Times New Roman" w:hAnsi="Ebrima" w:cs="Times New Roman"/>
          <w:sz w:val="24"/>
          <w:szCs w:val="24"/>
          <w:lang w:val="bs-Latn-BA"/>
        </w:rPr>
        <w:t>a značajan dio se odnosi na naknade od administrativnih taksi, sudskih taksi i drugih kantonalnih taksi, te namjenski prihodi po osnovu naknade za ceste, vodne naknade i naknade za  korištenje šuma, te neplanirane uplate i prihodi od pružanja javnih usluga.</w:t>
      </w:r>
    </w:p>
    <w:p w:rsidR="0040112E" w:rsidRPr="00314FA4" w:rsidRDefault="0040112E" w:rsidP="00EB6226">
      <w:pPr>
        <w:spacing w:after="0" w:line="240" w:lineRule="auto"/>
        <w:jc w:val="both"/>
        <w:rPr>
          <w:rFonts w:ascii="Ebrima" w:eastAsia="Times New Roman" w:hAnsi="Ebrima" w:cs="Times New Roman"/>
          <w:sz w:val="24"/>
          <w:szCs w:val="24"/>
          <w:lang w:val="bs-Latn-BA"/>
        </w:rPr>
      </w:pPr>
      <w:r w:rsidRPr="00314FA4">
        <w:rPr>
          <w:rFonts w:ascii="Ebrima" w:eastAsia="Times New Roman" w:hAnsi="Ebrima" w:cs="Times New Roman"/>
          <w:sz w:val="24"/>
          <w:szCs w:val="24"/>
          <w:lang w:val="bs-Latn-BA"/>
        </w:rPr>
        <w:t>Projekcije neporeznih prihoda rađene su na bazi ostvarenja ovih vrsta prihoda u prethodnom periodu</w:t>
      </w:r>
      <w:r w:rsidR="00FE4A17" w:rsidRPr="00314FA4">
        <w:rPr>
          <w:rFonts w:ascii="Ebrima" w:eastAsia="Times New Roman" w:hAnsi="Ebrima" w:cs="Times New Roman"/>
          <w:sz w:val="24"/>
          <w:szCs w:val="24"/>
          <w:lang w:val="bs-Latn-BA"/>
        </w:rPr>
        <w:t>,</w:t>
      </w:r>
      <w:r w:rsidRPr="00314FA4">
        <w:rPr>
          <w:rFonts w:ascii="Ebrima" w:eastAsia="Times New Roman" w:hAnsi="Ebrima" w:cs="Times New Roman"/>
          <w:sz w:val="24"/>
          <w:szCs w:val="24"/>
          <w:lang w:val="bs-Latn-BA"/>
        </w:rPr>
        <w:t xml:space="preserve"> te na osnovu kretanja i analiza projekcija za naredni period. </w:t>
      </w:r>
    </w:p>
    <w:p w:rsidR="0040112E" w:rsidRPr="00314FA4" w:rsidRDefault="0040112E" w:rsidP="00EB6226">
      <w:pPr>
        <w:spacing w:after="0" w:line="240" w:lineRule="auto"/>
        <w:jc w:val="both"/>
        <w:rPr>
          <w:rFonts w:ascii="Ebrima" w:eastAsia="Times New Roman" w:hAnsi="Ebrima" w:cs="Times New Roman"/>
          <w:spacing w:val="2"/>
          <w:sz w:val="24"/>
          <w:szCs w:val="20"/>
          <w:lang w:val="bs-Latn-BA"/>
        </w:rPr>
      </w:pPr>
      <w:r w:rsidRPr="00314FA4">
        <w:rPr>
          <w:rFonts w:ascii="Ebrima" w:eastAsia="Times New Roman" w:hAnsi="Ebrima" w:cs="Times New Roman"/>
          <w:spacing w:val="2"/>
          <w:sz w:val="24"/>
          <w:szCs w:val="20"/>
          <w:lang w:val="bs-Latn-BA"/>
        </w:rPr>
        <w:t xml:space="preserve">Naknade i takse i prihodi od pružanja javnih usluga se sastoje od administrativnih taksi, sudskih taksi, komunalnih naknada i taksi, ostalih budžetskih taksi, naknada i taksi po federalnim zakonima i drugim propisima, prihoda od pružanja javnih usluga (prihoda od vlastitih djelatnosti korisnika proračuna i vlastitih prihoda) i neplaniranih uplata - prihoda. </w:t>
      </w:r>
    </w:p>
    <w:p w:rsidR="0040112E" w:rsidRPr="00314FA4" w:rsidRDefault="0040112E" w:rsidP="00EB6226">
      <w:pPr>
        <w:spacing w:after="0" w:line="240" w:lineRule="auto"/>
        <w:jc w:val="both"/>
        <w:rPr>
          <w:rFonts w:ascii="Ebrima" w:eastAsia="Times New Roman" w:hAnsi="Ebrima" w:cs="Times New Roman"/>
          <w:spacing w:val="2"/>
          <w:sz w:val="24"/>
          <w:szCs w:val="20"/>
          <w:lang w:val="bs-Latn-BA"/>
        </w:rPr>
      </w:pPr>
      <w:r w:rsidRPr="00314FA4">
        <w:rPr>
          <w:rFonts w:ascii="Ebrima" w:eastAsia="Times New Roman" w:hAnsi="Ebrima" w:cs="Times New Roman"/>
          <w:spacing w:val="2"/>
          <w:sz w:val="24"/>
          <w:szCs w:val="20"/>
          <w:lang w:val="bs-Latn-BA"/>
        </w:rPr>
        <w:t>Administrativne i sudske takse su regulisane Zakonom o administrativnim taksama Bosansko-podrinjskog kantona Goražde (“Službene novine BPK-a Goražde”, broj: 12/13) i Zakonom o sudskim taksama (“Službene novine BPK-a Goražde”, broj:</w:t>
      </w:r>
      <w:r w:rsidR="00C30FB9" w:rsidRPr="00314FA4">
        <w:rPr>
          <w:rFonts w:ascii="Ebrima" w:eastAsia="Times New Roman" w:hAnsi="Ebrima" w:cs="Times New Roman"/>
          <w:spacing w:val="2"/>
          <w:sz w:val="24"/>
          <w:szCs w:val="20"/>
          <w:lang w:val="bs-Latn-BA"/>
        </w:rPr>
        <w:t xml:space="preserve"> </w:t>
      </w:r>
      <w:r w:rsidRPr="00314FA4">
        <w:rPr>
          <w:rFonts w:ascii="Ebrima" w:eastAsia="Times New Roman" w:hAnsi="Ebrima" w:cs="Times New Roman"/>
          <w:spacing w:val="2"/>
          <w:sz w:val="24"/>
          <w:szCs w:val="20"/>
          <w:lang w:val="bs-Latn-BA"/>
        </w:rPr>
        <w:t>6/10 i 15/14).</w:t>
      </w:r>
    </w:p>
    <w:p w:rsidR="0040112E" w:rsidRPr="00314FA4" w:rsidRDefault="0040112E" w:rsidP="00EB6226">
      <w:pPr>
        <w:spacing w:after="0" w:line="240" w:lineRule="auto"/>
        <w:ind w:firstLine="708"/>
        <w:jc w:val="both"/>
        <w:rPr>
          <w:rFonts w:ascii="Ebrima" w:eastAsia="Times New Roman" w:hAnsi="Ebrima" w:cs="Times New Roman"/>
          <w:spacing w:val="2"/>
          <w:sz w:val="24"/>
          <w:szCs w:val="20"/>
          <w:lang w:val="bs-Latn-BA"/>
        </w:rPr>
      </w:pPr>
      <w:r w:rsidRPr="00314FA4">
        <w:rPr>
          <w:rFonts w:ascii="Ebrima" w:eastAsia="Times New Roman" w:hAnsi="Ebrima" w:cs="Times New Roman"/>
          <w:spacing w:val="2"/>
          <w:sz w:val="24"/>
          <w:szCs w:val="20"/>
          <w:lang w:val="bs-Latn-BA"/>
        </w:rPr>
        <w:t xml:space="preserve">Ostale budžetske naknade i posebne naknade i takse regulisane su mnogim propisima u koje spadaju zakoni, uredbe, pravilnici koji su doneseni kako na nivou Federacije Bosne i Hercegovine tako i na nivou Bosansko-podrinjskog kantona Goražde. </w:t>
      </w:r>
    </w:p>
    <w:p w:rsidR="0040112E" w:rsidRPr="00314FA4" w:rsidRDefault="0040112E" w:rsidP="00EB6226">
      <w:pPr>
        <w:spacing w:after="0" w:line="240" w:lineRule="auto"/>
        <w:ind w:firstLine="708"/>
        <w:jc w:val="both"/>
        <w:rPr>
          <w:rFonts w:ascii="Ebrima" w:eastAsia="Times New Roman" w:hAnsi="Ebrima" w:cs="Times New Roman"/>
          <w:spacing w:val="2"/>
          <w:sz w:val="24"/>
          <w:szCs w:val="20"/>
          <w:lang w:val="bs-Latn-BA"/>
        </w:rPr>
      </w:pPr>
      <w:r w:rsidRPr="00314FA4">
        <w:rPr>
          <w:rFonts w:ascii="Ebrima" w:eastAsia="Times New Roman" w:hAnsi="Ebrima" w:cs="Times New Roman"/>
          <w:spacing w:val="2"/>
          <w:sz w:val="24"/>
          <w:szCs w:val="20"/>
          <w:lang w:val="bs-Latn-BA"/>
        </w:rPr>
        <w:t>Najznačajnije posebne naknade i takse su regulisane slijedećim propisima:</w:t>
      </w:r>
    </w:p>
    <w:p w:rsidR="0040112E" w:rsidRPr="00314FA4" w:rsidRDefault="0040112E" w:rsidP="0040112E">
      <w:pPr>
        <w:numPr>
          <w:ilvl w:val="0"/>
          <w:numId w:val="1"/>
        </w:numPr>
        <w:spacing w:after="0" w:line="240" w:lineRule="auto"/>
        <w:jc w:val="both"/>
        <w:rPr>
          <w:rFonts w:ascii="Ebrima" w:eastAsia="Times New Roman" w:hAnsi="Ebrima" w:cs="Times New Roman"/>
          <w:spacing w:val="2"/>
          <w:sz w:val="24"/>
          <w:szCs w:val="20"/>
          <w:lang w:val="bs-Latn-BA"/>
        </w:rPr>
      </w:pPr>
      <w:r w:rsidRPr="00314FA4">
        <w:rPr>
          <w:rFonts w:ascii="Ebrima" w:eastAsia="Times New Roman" w:hAnsi="Ebrima" w:cs="Times New Roman"/>
          <w:spacing w:val="2"/>
          <w:sz w:val="24"/>
          <w:szCs w:val="20"/>
          <w:lang w:val="bs-Latn-BA"/>
        </w:rPr>
        <w:lastRenderedPageBreak/>
        <w:t>Naknade i takse za veterinarske i sanitarne preglede koje su regulisane Odlukom o veterinarskoj svjedodžbi o zdravstvenom stanju životinja i pošiljaka životinjskog porjekla u unutarnjem i međunarodnom prometu („Službene glasnik BiH“, broj: 33/03, 14/04, 35/05) odnosno Pravilnikom o visini naknade i načinu raspodjele sredstava za obavljene veterinarsko-zdravstvene preglede i kontrolu („Službene novine Federacije BiH“, broj: 18/09, 57/09, 66/09, 5/10, 28/10) i Pravilnikom o visini i načinu raspodjele naknada za svjedodžbu o zdravstvenom stanju životinja („Službene novine Federacije BiH“, broj: 18/09, 59/09) koji su doneseni na osnovu navedene Odluke, a</w:t>
      </w:r>
      <w:r w:rsidRPr="00314FA4">
        <w:rPr>
          <w:rFonts w:ascii="Ebrima" w:eastAsia="Times New Roman" w:hAnsi="Ebrima" w:cs="Times New Roman"/>
          <w:b/>
          <w:spacing w:val="2"/>
          <w:sz w:val="24"/>
          <w:szCs w:val="20"/>
          <w:lang w:val="bs-Latn-BA"/>
        </w:rPr>
        <w:t xml:space="preserve"> </w:t>
      </w:r>
      <w:r w:rsidRPr="00314FA4">
        <w:rPr>
          <w:rFonts w:ascii="Ebrima" w:eastAsia="Times New Roman" w:hAnsi="Ebrima" w:cs="Times New Roman"/>
          <w:spacing w:val="2"/>
          <w:sz w:val="24"/>
          <w:szCs w:val="20"/>
          <w:lang w:val="bs-Latn-BA"/>
        </w:rPr>
        <w:t>predstavljaju namjenski prihod Ministarstva za privredu;</w:t>
      </w:r>
    </w:p>
    <w:p w:rsidR="0040112E" w:rsidRPr="00314FA4" w:rsidRDefault="0040112E" w:rsidP="0040112E">
      <w:pPr>
        <w:numPr>
          <w:ilvl w:val="0"/>
          <w:numId w:val="1"/>
        </w:numPr>
        <w:spacing w:after="0" w:line="240" w:lineRule="auto"/>
        <w:jc w:val="both"/>
        <w:rPr>
          <w:rFonts w:ascii="Ebrima" w:eastAsia="Times New Roman" w:hAnsi="Ebrima" w:cs="Times New Roman"/>
          <w:spacing w:val="2"/>
          <w:sz w:val="24"/>
          <w:szCs w:val="20"/>
          <w:lang w:val="bs-Latn-BA"/>
        </w:rPr>
      </w:pPr>
      <w:r w:rsidRPr="00314FA4">
        <w:rPr>
          <w:rFonts w:ascii="Ebrima" w:eastAsia="Times New Roman" w:hAnsi="Ebrima" w:cs="Times New Roman"/>
          <w:spacing w:val="2"/>
          <w:sz w:val="24"/>
          <w:szCs w:val="20"/>
          <w:lang w:val="bs-Latn-BA"/>
        </w:rPr>
        <w:t>Naknade za korištenje voda koje su regulisane Zakonom o vodama („Službene novine Federacije BiH“, broj: 70/06) i predstavljaju namjenski prihod Ministarstva za privredu;</w:t>
      </w:r>
    </w:p>
    <w:p w:rsidR="0040112E" w:rsidRPr="00314FA4" w:rsidRDefault="0040112E" w:rsidP="0040112E">
      <w:pPr>
        <w:numPr>
          <w:ilvl w:val="0"/>
          <w:numId w:val="1"/>
        </w:numPr>
        <w:spacing w:after="0" w:line="240" w:lineRule="auto"/>
        <w:jc w:val="both"/>
        <w:rPr>
          <w:rFonts w:ascii="Ebrima" w:eastAsia="Times New Roman" w:hAnsi="Ebrima" w:cs="Times New Roman"/>
          <w:spacing w:val="2"/>
          <w:sz w:val="24"/>
          <w:szCs w:val="20"/>
          <w:lang w:val="bs-Latn-BA"/>
        </w:rPr>
      </w:pPr>
      <w:r w:rsidRPr="00314FA4">
        <w:rPr>
          <w:rFonts w:ascii="Ebrima" w:eastAsia="Times New Roman" w:hAnsi="Ebrima" w:cs="Times New Roman"/>
          <w:spacing w:val="2"/>
          <w:sz w:val="24"/>
          <w:szCs w:val="20"/>
          <w:lang w:val="bs-Latn-BA"/>
        </w:rPr>
        <w:t>Cestovne naknade koje su regulisane Zakonom o cestama („Službene novine Federacije BiH“, broj: 12/10) i predstavljaju namjenski prihod Direkcije za ceste;</w:t>
      </w:r>
    </w:p>
    <w:p w:rsidR="0040112E" w:rsidRPr="00314FA4" w:rsidRDefault="0040112E" w:rsidP="0040112E">
      <w:pPr>
        <w:numPr>
          <w:ilvl w:val="0"/>
          <w:numId w:val="1"/>
        </w:numPr>
        <w:spacing w:after="0" w:line="240" w:lineRule="auto"/>
        <w:jc w:val="both"/>
        <w:rPr>
          <w:rFonts w:ascii="Ebrima" w:eastAsia="Times New Roman" w:hAnsi="Ebrima" w:cs="Times New Roman"/>
          <w:spacing w:val="2"/>
          <w:sz w:val="24"/>
          <w:szCs w:val="20"/>
          <w:lang w:val="bs-Latn-BA"/>
        </w:rPr>
      </w:pPr>
      <w:r w:rsidRPr="00314FA4">
        <w:rPr>
          <w:rFonts w:ascii="Ebrima" w:eastAsia="Times New Roman" w:hAnsi="Ebrima" w:cs="Times New Roman"/>
          <w:spacing w:val="2"/>
          <w:sz w:val="24"/>
          <w:szCs w:val="20"/>
          <w:lang w:val="bs-Latn-BA"/>
        </w:rPr>
        <w:t>Naknade za korištenje šuma koje su regulisane Zakonom o šumama BPK-a Goražde i predstavljaju namjenski prihod Kantonalne uprave za šumarstvo;</w:t>
      </w:r>
    </w:p>
    <w:p w:rsidR="0040112E" w:rsidRPr="00314FA4" w:rsidRDefault="0040112E" w:rsidP="0040112E">
      <w:pPr>
        <w:numPr>
          <w:ilvl w:val="0"/>
          <w:numId w:val="1"/>
        </w:numPr>
        <w:spacing w:after="0" w:line="240" w:lineRule="auto"/>
        <w:jc w:val="both"/>
        <w:rPr>
          <w:rFonts w:ascii="Ebrima" w:eastAsia="Times New Roman" w:hAnsi="Ebrima" w:cs="Times New Roman"/>
          <w:spacing w:val="2"/>
          <w:sz w:val="24"/>
          <w:szCs w:val="20"/>
          <w:lang w:val="bs-Latn-BA"/>
        </w:rPr>
      </w:pPr>
      <w:r w:rsidRPr="00314FA4">
        <w:rPr>
          <w:rFonts w:ascii="Ebrima" w:eastAsia="Times New Roman" w:hAnsi="Ebrima" w:cs="Times New Roman"/>
          <w:spacing w:val="2"/>
          <w:sz w:val="24"/>
          <w:szCs w:val="20"/>
          <w:lang w:val="bs-Latn-BA"/>
        </w:rPr>
        <w:t>Posebne naknade za zaštitu od prirodnih i drugih nesreća koje su regulisane Zakonom o zaštiti i spašavanju ljudi i materijalnih dobara od prirodnih i drugih nesreća („Službene novine Federacije BiH“, broj: 39/03, 22/06, 43/10) i predstavljaju namjenski prihod Kantonalne uprave za civilnu zaštitu.</w:t>
      </w:r>
    </w:p>
    <w:p w:rsidR="0040112E" w:rsidRPr="00314FA4" w:rsidRDefault="0040112E" w:rsidP="0040112E">
      <w:pPr>
        <w:spacing w:after="0" w:line="240" w:lineRule="auto"/>
        <w:jc w:val="both"/>
        <w:rPr>
          <w:rFonts w:ascii="Times New Roman" w:eastAsia="Times New Roman" w:hAnsi="Times New Roman" w:cs="Times New Roman"/>
          <w:spacing w:val="2"/>
          <w:sz w:val="24"/>
          <w:szCs w:val="20"/>
          <w:lang w:val="bs-Latn-BA"/>
        </w:rPr>
      </w:pPr>
    </w:p>
    <w:p w:rsidR="0040112E" w:rsidRPr="00314FA4" w:rsidRDefault="0040112E" w:rsidP="0040112E">
      <w:pPr>
        <w:spacing w:after="0" w:line="240" w:lineRule="auto"/>
        <w:jc w:val="both"/>
        <w:rPr>
          <w:rFonts w:ascii="Ebrima" w:eastAsia="Times New Roman" w:hAnsi="Ebrima" w:cs="Times New Roman"/>
          <w:spacing w:val="2"/>
          <w:sz w:val="24"/>
          <w:szCs w:val="20"/>
          <w:lang w:val="bs-Latn-BA"/>
        </w:rPr>
      </w:pPr>
      <w:r w:rsidRPr="00314FA4">
        <w:rPr>
          <w:rFonts w:ascii="Ebrima" w:eastAsia="Times New Roman" w:hAnsi="Ebrima" w:cs="Times New Roman"/>
          <w:b/>
          <w:spacing w:val="2"/>
          <w:sz w:val="24"/>
          <w:szCs w:val="20"/>
          <w:lang w:val="bs-Latn-BA"/>
        </w:rPr>
        <w:t>Prihodi od poduzetničke aktivnosti i imovine i prihodi od pozitivnih kursnih razlika</w:t>
      </w:r>
      <w:r w:rsidRPr="00314FA4">
        <w:rPr>
          <w:rFonts w:ascii="Ebrima" w:eastAsia="Times New Roman" w:hAnsi="Ebrima" w:cs="Times New Roman"/>
          <w:spacing w:val="2"/>
          <w:sz w:val="24"/>
          <w:szCs w:val="20"/>
          <w:lang w:val="bs-Latn-BA"/>
        </w:rPr>
        <w:t xml:space="preserve"> uključuju: prihode od nefinansijskih javnih preduzeća i finansijskih javnih institucija, ostale prihode od imovine i prihode od privatizacije.</w:t>
      </w:r>
    </w:p>
    <w:p w:rsidR="0040112E" w:rsidRPr="00314FA4" w:rsidRDefault="0040112E" w:rsidP="0040112E">
      <w:pPr>
        <w:spacing w:after="0" w:line="240" w:lineRule="auto"/>
        <w:jc w:val="both"/>
        <w:rPr>
          <w:rFonts w:ascii="Ebrima" w:eastAsia="Times New Roman" w:hAnsi="Ebrima" w:cs="Times New Roman"/>
          <w:spacing w:val="2"/>
          <w:sz w:val="24"/>
          <w:szCs w:val="20"/>
          <w:lang w:val="bs-Latn-BA"/>
        </w:rPr>
      </w:pPr>
      <w:r w:rsidRPr="00314FA4">
        <w:rPr>
          <w:rFonts w:ascii="Ebrima" w:eastAsia="Times New Roman" w:hAnsi="Ebrima" w:cs="Times New Roman"/>
          <w:b/>
          <w:spacing w:val="2"/>
          <w:sz w:val="24"/>
          <w:szCs w:val="24"/>
          <w:lang w:val="bs-Latn-BA"/>
        </w:rPr>
        <w:t>Novčane kazne (neporezne prirode)</w:t>
      </w:r>
      <w:r w:rsidRPr="00314FA4">
        <w:rPr>
          <w:rFonts w:ascii="Ebrima" w:eastAsia="Times New Roman" w:hAnsi="Ebrima" w:cs="Times New Roman"/>
          <w:spacing w:val="2"/>
          <w:sz w:val="24"/>
          <w:szCs w:val="24"/>
          <w:lang w:val="bs-Latn-BA"/>
        </w:rPr>
        <w:t xml:space="preserve"> čine: novčane kazne po kantonalnim propisima, novčane kazne za prekršaje koje su registrovane u registru novčanih kazni i troškovi prekršajnog postupka, te ostali prihodi.</w:t>
      </w:r>
    </w:p>
    <w:p w:rsidR="00E01209" w:rsidRPr="00314FA4" w:rsidRDefault="00E01209" w:rsidP="0040112E">
      <w:pPr>
        <w:spacing w:after="0" w:line="240" w:lineRule="auto"/>
        <w:jc w:val="both"/>
        <w:rPr>
          <w:rFonts w:ascii="Times New Roman" w:eastAsia="Times New Roman" w:hAnsi="Times New Roman" w:cs="Times New Roman"/>
          <w:b/>
          <w:bCs/>
          <w:sz w:val="24"/>
          <w:lang w:val="bs-Latn-BA"/>
        </w:rPr>
      </w:pPr>
    </w:p>
    <w:p w:rsidR="0040112E" w:rsidRPr="00314FA4" w:rsidRDefault="0040112E" w:rsidP="0040112E">
      <w:pPr>
        <w:spacing w:after="0" w:line="240" w:lineRule="auto"/>
        <w:jc w:val="both"/>
        <w:rPr>
          <w:rFonts w:ascii="Ebrima" w:eastAsia="Times New Roman" w:hAnsi="Ebrima" w:cs="Times New Roman"/>
          <w:b/>
          <w:bCs/>
          <w:sz w:val="24"/>
          <w:lang w:val="bs-Latn-BA"/>
        </w:rPr>
      </w:pPr>
      <w:r w:rsidRPr="00314FA4">
        <w:rPr>
          <w:rFonts w:ascii="Ebrima" w:eastAsia="Times New Roman" w:hAnsi="Ebrima" w:cs="Times New Roman"/>
          <w:b/>
          <w:bCs/>
          <w:sz w:val="24"/>
          <w:lang w:val="bs-Latn-BA"/>
        </w:rPr>
        <w:t>TEKUĆE POTPORE - GRANTOVI</w:t>
      </w:r>
    </w:p>
    <w:p w:rsidR="0040112E" w:rsidRPr="00314FA4" w:rsidRDefault="0040112E" w:rsidP="0040112E">
      <w:pPr>
        <w:spacing w:after="0" w:line="240" w:lineRule="auto"/>
        <w:jc w:val="both"/>
        <w:rPr>
          <w:rFonts w:ascii="Ebrima" w:eastAsia="Times New Roman" w:hAnsi="Ebrima" w:cs="Times New Roman"/>
          <w:bCs/>
          <w:sz w:val="24"/>
          <w:lang w:val="bs-Latn-BA"/>
        </w:rPr>
      </w:pPr>
      <w:r w:rsidRPr="00314FA4">
        <w:rPr>
          <w:rFonts w:ascii="Ebrima" w:eastAsia="Times New Roman" w:hAnsi="Ebrima" w:cs="Times New Roman"/>
          <w:bCs/>
          <w:sz w:val="24"/>
          <w:lang w:val="bs-Latn-BA"/>
        </w:rPr>
        <w:t xml:space="preserve"> </w:t>
      </w:r>
    </w:p>
    <w:p w:rsidR="0040112E" w:rsidRPr="00314FA4" w:rsidRDefault="0040112E" w:rsidP="0040112E">
      <w:pPr>
        <w:spacing w:after="0" w:line="240" w:lineRule="auto"/>
        <w:jc w:val="both"/>
        <w:rPr>
          <w:rFonts w:ascii="Ebrima" w:eastAsia="Times New Roman" w:hAnsi="Ebrima" w:cs="Times New Roman"/>
          <w:sz w:val="24"/>
          <w:szCs w:val="20"/>
          <w:lang w:val="bs-Latn-BA"/>
        </w:rPr>
      </w:pPr>
      <w:r w:rsidRPr="00314FA4">
        <w:rPr>
          <w:rFonts w:ascii="Ebrima" w:eastAsia="Times New Roman" w:hAnsi="Ebrima" w:cs="Times New Roman"/>
          <w:sz w:val="24"/>
          <w:szCs w:val="20"/>
          <w:lang w:val="bs-Latn-BA"/>
        </w:rPr>
        <w:t>U projekciji tekućih transfera  za period 20</w:t>
      </w:r>
      <w:r w:rsidR="001D7894" w:rsidRPr="00314FA4">
        <w:rPr>
          <w:rFonts w:ascii="Ebrima" w:eastAsia="Times New Roman" w:hAnsi="Ebrima" w:cs="Times New Roman"/>
          <w:sz w:val="24"/>
          <w:szCs w:val="20"/>
          <w:lang w:val="bs-Latn-BA"/>
        </w:rPr>
        <w:t>24</w:t>
      </w:r>
      <w:r w:rsidR="00FE4A17" w:rsidRPr="00314FA4">
        <w:rPr>
          <w:rFonts w:ascii="Ebrima" w:eastAsia="Times New Roman" w:hAnsi="Ebrima" w:cs="Times New Roman"/>
          <w:sz w:val="24"/>
          <w:szCs w:val="20"/>
          <w:lang w:val="bs-Latn-BA"/>
        </w:rPr>
        <w:t>.</w:t>
      </w:r>
      <w:r w:rsidR="001D7894" w:rsidRPr="00314FA4">
        <w:rPr>
          <w:rFonts w:ascii="Ebrima" w:eastAsia="Times New Roman" w:hAnsi="Ebrima" w:cs="Times New Roman"/>
          <w:sz w:val="24"/>
          <w:szCs w:val="20"/>
          <w:lang w:val="bs-Latn-BA"/>
        </w:rPr>
        <w:t>-2026</w:t>
      </w:r>
      <w:r w:rsidRPr="00314FA4">
        <w:rPr>
          <w:rFonts w:ascii="Ebrima" w:eastAsia="Times New Roman" w:hAnsi="Ebrima" w:cs="Times New Roman"/>
          <w:sz w:val="24"/>
          <w:szCs w:val="20"/>
          <w:lang w:val="bs-Latn-BA"/>
        </w:rPr>
        <w:t>. godina planiran je tekući transfer koji se</w:t>
      </w:r>
      <w:r w:rsidR="00FE4A17" w:rsidRPr="00314FA4">
        <w:rPr>
          <w:rFonts w:ascii="Ebrima" w:eastAsia="Times New Roman" w:hAnsi="Ebrima" w:cs="Times New Roman"/>
          <w:sz w:val="24"/>
          <w:szCs w:val="20"/>
          <w:lang w:val="bs-Latn-BA"/>
        </w:rPr>
        <w:t xml:space="preserve"> odnosi na  namjenska sredstva-C</w:t>
      </w:r>
      <w:r w:rsidR="001D7894" w:rsidRPr="00314FA4">
        <w:rPr>
          <w:rFonts w:ascii="Ebrima" w:eastAsia="Times New Roman" w:hAnsi="Ebrima" w:cs="Times New Roman"/>
          <w:sz w:val="24"/>
          <w:szCs w:val="20"/>
          <w:lang w:val="bs-Latn-BA"/>
        </w:rPr>
        <w:t>ivilnim žrtvama rata, dječiji doplatak i roditelj</w:t>
      </w:r>
      <w:r w:rsidR="00596CA3" w:rsidRPr="00314FA4">
        <w:rPr>
          <w:rFonts w:ascii="Ebrima" w:eastAsia="Times New Roman" w:hAnsi="Ebrima" w:cs="Times New Roman"/>
          <w:sz w:val="24"/>
          <w:szCs w:val="20"/>
          <w:lang w:val="bs-Latn-BA"/>
        </w:rPr>
        <w:t>-</w:t>
      </w:r>
      <w:r w:rsidR="001D7894" w:rsidRPr="00314FA4">
        <w:rPr>
          <w:rFonts w:ascii="Ebrima" w:eastAsia="Times New Roman" w:hAnsi="Ebrima" w:cs="Times New Roman"/>
          <w:sz w:val="24"/>
          <w:szCs w:val="20"/>
          <w:lang w:val="bs-Latn-BA"/>
        </w:rPr>
        <w:t xml:space="preserve"> njegovatelj</w:t>
      </w:r>
      <w:r w:rsidR="00596CA3" w:rsidRPr="00314FA4">
        <w:rPr>
          <w:rFonts w:ascii="Ebrima" w:eastAsia="Times New Roman" w:hAnsi="Ebrima" w:cs="Times New Roman"/>
          <w:sz w:val="24"/>
          <w:szCs w:val="20"/>
          <w:lang w:val="bs-Latn-BA"/>
        </w:rPr>
        <w:t>.</w:t>
      </w:r>
      <w:r w:rsidR="001D7894" w:rsidRPr="00314FA4">
        <w:rPr>
          <w:rFonts w:ascii="Ebrima" w:eastAsia="Times New Roman" w:hAnsi="Ebrima" w:cs="Times New Roman"/>
          <w:sz w:val="24"/>
          <w:szCs w:val="20"/>
          <w:lang w:val="bs-Latn-BA"/>
        </w:rPr>
        <w:t xml:space="preserve"> </w:t>
      </w:r>
    </w:p>
    <w:p w:rsidR="00EB6226" w:rsidRPr="00314FA4" w:rsidRDefault="0040112E" w:rsidP="0040112E">
      <w:pPr>
        <w:spacing w:after="0" w:line="240" w:lineRule="auto"/>
        <w:jc w:val="both"/>
        <w:rPr>
          <w:rFonts w:ascii="Ebrima" w:eastAsia="Times New Roman" w:hAnsi="Ebrima" w:cs="Times New Roman"/>
          <w:sz w:val="24"/>
          <w:szCs w:val="20"/>
          <w:lang w:val="bs-Latn-BA"/>
        </w:rPr>
      </w:pPr>
      <w:r w:rsidRPr="00314FA4">
        <w:rPr>
          <w:rFonts w:ascii="Ebrima" w:eastAsia="Times New Roman" w:hAnsi="Ebrima" w:cs="Times New Roman"/>
          <w:sz w:val="24"/>
          <w:szCs w:val="20"/>
          <w:lang w:val="bs-Latn-BA"/>
        </w:rPr>
        <w:t xml:space="preserve">Ono što je bitno napomenuti da u iznos transfera </w:t>
      </w:r>
      <w:r w:rsidR="00FE4A17" w:rsidRPr="00314FA4">
        <w:rPr>
          <w:rFonts w:ascii="Ebrima" w:eastAsia="Times New Roman" w:hAnsi="Ebrima" w:cs="Times New Roman"/>
          <w:sz w:val="24"/>
          <w:szCs w:val="20"/>
          <w:lang w:val="bs-Latn-BA"/>
        </w:rPr>
        <w:t xml:space="preserve">iz Budžeta </w:t>
      </w:r>
      <w:r w:rsidRPr="00314FA4">
        <w:rPr>
          <w:rFonts w:ascii="Ebrima" w:eastAsia="Times New Roman" w:hAnsi="Ebrima" w:cs="Times New Roman"/>
          <w:sz w:val="24"/>
          <w:szCs w:val="20"/>
          <w:lang w:val="bs-Latn-BA"/>
        </w:rPr>
        <w:t>Federacije</w:t>
      </w:r>
      <w:r w:rsidR="00FE4A17" w:rsidRPr="00314FA4">
        <w:rPr>
          <w:rFonts w:ascii="Ebrima" w:eastAsia="Times New Roman" w:hAnsi="Ebrima" w:cs="Times New Roman"/>
          <w:sz w:val="24"/>
          <w:szCs w:val="20"/>
          <w:lang w:val="bs-Latn-BA"/>
        </w:rPr>
        <w:t xml:space="preserve"> BiH</w:t>
      </w:r>
      <w:r w:rsidRPr="00314FA4">
        <w:rPr>
          <w:rFonts w:ascii="Ebrima" w:eastAsia="Times New Roman" w:hAnsi="Ebrima" w:cs="Times New Roman"/>
          <w:sz w:val="24"/>
          <w:szCs w:val="20"/>
          <w:lang w:val="bs-Latn-BA"/>
        </w:rPr>
        <w:t xml:space="preserve"> kao grant sredstva i sredstva za projekte od F</w:t>
      </w:r>
      <w:r w:rsidR="00A33983" w:rsidRPr="00314FA4">
        <w:rPr>
          <w:rFonts w:ascii="Ebrima" w:eastAsia="Times New Roman" w:hAnsi="Ebrima" w:cs="Times New Roman"/>
          <w:sz w:val="24"/>
          <w:szCs w:val="20"/>
          <w:lang w:val="bs-Latn-BA"/>
        </w:rPr>
        <w:t>ederacije nisu pla</w:t>
      </w:r>
      <w:r w:rsidR="004D2D74" w:rsidRPr="00314FA4">
        <w:rPr>
          <w:rFonts w:ascii="Ebrima" w:eastAsia="Times New Roman" w:hAnsi="Ebrima" w:cs="Times New Roman"/>
          <w:sz w:val="24"/>
          <w:szCs w:val="20"/>
          <w:lang w:val="bs-Latn-BA"/>
        </w:rPr>
        <w:t xml:space="preserve">nirani </w:t>
      </w:r>
      <w:r w:rsidR="00EB6226" w:rsidRPr="00314FA4">
        <w:rPr>
          <w:rFonts w:ascii="Ebrima" w:eastAsia="Times New Roman" w:hAnsi="Ebrima" w:cs="Times New Roman"/>
          <w:sz w:val="24"/>
          <w:szCs w:val="20"/>
          <w:lang w:val="bs-Latn-BA"/>
        </w:rPr>
        <w:t>u ovoj</w:t>
      </w:r>
      <w:r w:rsidR="004D2D74" w:rsidRPr="00314FA4">
        <w:rPr>
          <w:rFonts w:ascii="Ebrima" w:eastAsia="Times New Roman" w:hAnsi="Ebrima" w:cs="Times New Roman"/>
          <w:sz w:val="24"/>
          <w:szCs w:val="20"/>
          <w:lang w:val="bs-Latn-BA"/>
        </w:rPr>
        <w:t xml:space="preserve"> projekciji</w:t>
      </w:r>
      <w:r w:rsidR="00EB6226" w:rsidRPr="00314FA4">
        <w:rPr>
          <w:rFonts w:ascii="Ebrima" w:eastAsia="Times New Roman" w:hAnsi="Ebrima" w:cs="Times New Roman"/>
          <w:sz w:val="24"/>
          <w:szCs w:val="20"/>
          <w:lang w:val="bs-Latn-BA"/>
        </w:rPr>
        <w:t>.</w:t>
      </w:r>
    </w:p>
    <w:p w:rsidR="00EB6226" w:rsidRPr="00314FA4" w:rsidRDefault="00EB6226" w:rsidP="0040112E">
      <w:pPr>
        <w:spacing w:after="0" w:line="240" w:lineRule="auto"/>
        <w:jc w:val="both"/>
        <w:rPr>
          <w:rFonts w:ascii="Times New Roman" w:eastAsia="Times New Roman" w:hAnsi="Times New Roman" w:cs="Times New Roman"/>
          <w:sz w:val="24"/>
          <w:szCs w:val="20"/>
          <w:lang w:val="bs-Latn-BA"/>
        </w:rPr>
      </w:pPr>
    </w:p>
    <w:p w:rsidR="0040112E" w:rsidRPr="00314FA4" w:rsidRDefault="0040112E" w:rsidP="0040112E">
      <w:pPr>
        <w:spacing w:after="0" w:line="240" w:lineRule="auto"/>
        <w:jc w:val="both"/>
        <w:rPr>
          <w:rFonts w:ascii="Ebrima" w:eastAsia="Times New Roman" w:hAnsi="Ebrima" w:cstheme="minorHAnsi"/>
          <w:sz w:val="24"/>
          <w:szCs w:val="20"/>
          <w:lang w:val="bs-Latn-BA"/>
        </w:rPr>
      </w:pPr>
      <w:r w:rsidRPr="00314FA4">
        <w:rPr>
          <w:rFonts w:ascii="Ebrima" w:eastAsia="Times New Roman" w:hAnsi="Ebrima" w:cstheme="minorHAnsi"/>
          <w:sz w:val="24"/>
          <w:szCs w:val="20"/>
          <w:lang w:val="bs-Latn-BA"/>
        </w:rPr>
        <w:t>Potrebe za finansijskim sredstvima u</w:t>
      </w:r>
      <w:r w:rsidR="00FE4A17" w:rsidRPr="00314FA4">
        <w:rPr>
          <w:rFonts w:ascii="Ebrima" w:eastAsia="Times New Roman" w:hAnsi="Ebrima" w:cstheme="minorHAnsi"/>
          <w:sz w:val="24"/>
          <w:szCs w:val="20"/>
          <w:lang w:val="bs-Latn-BA"/>
        </w:rPr>
        <w:t xml:space="preserve"> vidu potpore sa viših nivoa u B</w:t>
      </w:r>
      <w:r w:rsidRPr="00314FA4">
        <w:rPr>
          <w:rFonts w:ascii="Ebrima" w:eastAsia="Times New Roman" w:hAnsi="Ebrima" w:cstheme="minorHAnsi"/>
          <w:sz w:val="24"/>
          <w:szCs w:val="20"/>
          <w:lang w:val="bs-Latn-BA"/>
        </w:rPr>
        <w:t>udžetu</w:t>
      </w:r>
      <w:r w:rsidR="001D7894" w:rsidRPr="00314FA4">
        <w:rPr>
          <w:rFonts w:ascii="Ebrima" w:eastAsia="Times New Roman" w:hAnsi="Ebrima" w:cstheme="minorHAnsi"/>
          <w:sz w:val="24"/>
          <w:szCs w:val="20"/>
          <w:lang w:val="bs-Latn-BA"/>
        </w:rPr>
        <w:t xml:space="preserve"> za period 2024</w:t>
      </w:r>
      <w:r w:rsidR="008051E4" w:rsidRPr="00314FA4">
        <w:rPr>
          <w:rFonts w:ascii="Ebrima" w:eastAsia="Times New Roman" w:hAnsi="Ebrima" w:cstheme="minorHAnsi"/>
          <w:sz w:val="24"/>
          <w:szCs w:val="20"/>
          <w:lang w:val="bs-Latn-BA"/>
        </w:rPr>
        <w:t>.</w:t>
      </w:r>
      <w:r w:rsidRPr="00314FA4">
        <w:rPr>
          <w:rFonts w:ascii="Ebrima" w:eastAsia="Times New Roman" w:hAnsi="Ebrima" w:cstheme="minorHAnsi"/>
          <w:sz w:val="24"/>
          <w:szCs w:val="20"/>
          <w:lang w:val="bs-Latn-BA"/>
        </w:rPr>
        <w:t>-</w:t>
      </w:r>
      <w:r w:rsidR="001D7894" w:rsidRPr="00314FA4">
        <w:rPr>
          <w:rFonts w:ascii="Ebrima" w:eastAsia="Times New Roman" w:hAnsi="Ebrima" w:cstheme="minorHAnsi"/>
          <w:sz w:val="24"/>
          <w:szCs w:val="20"/>
          <w:lang w:val="bs-Latn-BA"/>
        </w:rPr>
        <w:t>2026</w:t>
      </w:r>
      <w:r w:rsidRPr="00314FA4">
        <w:rPr>
          <w:rFonts w:ascii="Ebrima" w:eastAsia="Times New Roman" w:hAnsi="Ebrima" w:cstheme="minorHAnsi"/>
          <w:sz w:val="24"/>
          <w:szCs w:val="20"/>
          <w:lang w:val="bs-Latn-BA"/>
        </w:rPr>
        <w:t xml:space="preserve">. godine su neophodne usljed činjenice da je Bosansko-podrinjski kanton Goražde jedan od ekonomski neodrživih kantona, te da se sa sopstvenim prihodima koje ostvari Kanton mogu izmiriti procjenjeni rashodi samo u dijelu prioriteta koji se definišu </w:t>
      </w:r>
      <w:r w:rsidRPr="00314FA4">
        <w:rPr>
          <w:rFonts w:ascii="Ebrima" w:eastAsia="Times New Roman" w:hAnsi="Ebrima" w:cstheme="minorHAnsi"/>
          <w:sz w:val="24"/>
          <w:szCs w:val="20"/>
          <w:lang w:val="bs-Latn-BA"/>
        </w:rPr>
        <w:lastRenderedPageBreak/>
        <w:t xml:space="preserve">Zakonom o izvršenju Budžeta Bosansko-podrinjskog kantona Goražde. </w:t>
      </w:r>
      <w:r w:rsidR="008B55E9" w:rsidRPr="00314FA4">
        <w:rPr>
          <w:rFonts w:ascii="Ebrima" w:eastAsia="Times New Roman" w:hAnsi="Ebrima" w:cstheme="minorHAnsi"/>
          <w:sz w:val="24"/>
          <w:szCs w:val="20"/>
          <w:lang w:val="bs-Latn-BA"/>
        </w:rPr>
        <w:t>D</w:t>
      </w:r>
      <w:r w:rsidRPr="00314FA4">
        <w:rPr>
          <w:rFonts w:ascii="Ebrima" w:eastAsia="Times New Roman" w:hAnsi="Ebrima" w:cstheme="minorHAnsi"/>
          <w:sz w:val="24"/>
          <w:szCs w:val="20"/>
          <w:lang w:val="bs-Latn-BA"/>
        </w:rPr>
        <w:t>oznake finansijskih sredstava iz Budžeta Federacije Bosne i Hercegovine Bosans</w:t>
      </w:r>
      <w:r w:rsidR="008B55E9" w:rsidRPr="00314FA4">
        <w:rPr>
          <w:rFonts w:ascii="Ebrima" w:eastAsia="Times New Roman" w:hAnsi="Ebrima" w:cstheme="minorHAnsi"/>
          <w:sz w:val="24"/>
          <w:szCs w:val="20"/>
          <w:lang w:val="bs-Latn-BA"/>
        </w:rPr>
        <w:t xml:space="preserve">ko-podrinjskom kantonu Goražde ili </w:t>
      </w:r>
      <w:r w:rsidRPr="00314FA4">
        <w:rPr>
          <w:rFonts w:ascii="Ebrima" w:eastAsia="Times New Roman" w:hAnsi="Ebrima" w:cstheme="minorHAnsi"/>
          <w:sz w:val="24"/>
          <w:szCs w:val="20"/>
          <w:lang w:val="bs-Latn-BA"/>
        </w:rPr>
        <w:t xml:space="preserve">iznalaženja sistemskog riješenja (Zakon o pripadnosti javnih prihoda u Federaciji Bosne i Hercegovine) ili na drugi način iznalaženje mogućnosti obezbjeđenja sredstava </w:t>
      </w:r>
      <w:r w:rsidR="001B1D07" w:rsidRPr="00314FA4">
        <w:rPr>
          <w:rFonts w:ascii="Ebrima" w:eastAsia="Times New Roman" w:hAnsi="Ebrima" w:cstheme="minorHAnsi"/>
          <w:sz w:val="24"/>
          <w:szCs w:val="20"/>
          <w:lang w:val="bs-Latn-BA"/>
        </w:rPr>
        <w:t>omoguć</w:t>
      </w:r>
      <w:r w:rsidR="00516EEA" w:rsidRPr="00314FA4">
        <w:rPr>
          <w:rFonts w:ascii="Ebrima" w:eastAsia="Times New Roman" w:hAnsi="Ebrima" w:cstheme="minorHAnsi"/>
          <w:sz w:val="24"/>
          <w:szCs w:val="20"/>
          <w:lang w:val="bs-Latn-BA"/>
        </w:rPr>
        <w:t>i</w:t>
      </w:r>
      <w:r w:rsidR="001B1D07" w:rsidRPr="00314FA4">
        <w:rPr>
          <w:rFonts w:ascii="Ebrima" w:eastAsia="Times New Roman" w:hAnsi="Ebrima" w:cstheme="minorHAnsi"/>
          <w:sz w:val="24"/>
          <w:szCs w:val="20"/>
          <w:lang w:val="bs-Latn-BA"/>
        </w:rPr>
        <w:t xml:space="preserve">t </w:t>
      </w:r>
      <w:r w:rsidR="00516EEA" w:rsidRPr="00314FA4">
        <w:rPr>
          <w:rFonts w:ascii="Ebrima" w:eastAsia="Times New Roman" w:hAnsi="Ebrima" w:cstheme="minorHAnsi"/>
          <w:sz w:val="24"/>
          <w:szCs w:val="20"/>
          <w:lang w:val="bs-Latn-BA"/>
        </w:rPr>
        <w:t xml:space="preserve">će </w:t>
      </w:r>
      <w:r w:rsidRPr="00314FA4">
        <w:rPr>
          <w:rFonts w:ascii="Ebrima" w:eastAsia="Times New Roman" w:hAnsi="Ebrima" w:cstheme="minorHAnsi"/>
          <w:sz w:val="24"/>
          <w:szCs w:val="20"/>
          <w:lang w:val="bs-Latn-BA"/>
        </w:rPr>
        <w:t>funkcionisanje Ustavom definisanih nadležnosti Kantona.</w:t>
      </w:r>
    </w:p>
    <w:p w:rsidR="004271C8" w:rsidRPr="00314FA4" w:rsidRDefault="004271C8" w:rsidP="0040112E">
      <w:pPr>
        <w:spacing w:after="0" w:line="240" w:lineRule="auto"/>
        <w:rPr>
          <w:rFonts w:ascii="Ebrima" w:eastAsia="Times New Roman" w:hAnsi="Ebrima" w:cstheme="minorHAnsi"/>
          <w:bCs/>
          <w:sz w:val="24"/>
          <w:szCs w:val="24"/>
          <w:lang w:val="bs-Latn-BA"/>
        </w:rPr>
      </w:pPr>
    </w:p>
    <w:p w:rsidR="0040112E" w:rsidRPr="00314FA4" w:rsidRDefault="0040112E" w:rsidP="0040112E">
      <w:pPr>
        <w:spacing w:before="120" w:after="60" w:line="240" w:lineRule="auto"/>
        <w:contextualSpacing/>
        <w:jc w:val="both"/>
        <w:outlineLvl w:val="1"/>
        <w:rPr>
          <w:rFonts w:ascii="Ebrima" w:eastAsia="Times New Roman" w:hAnsi="Ebrima" w:cs="Times New Roman"/>
          <w:bCs/>
          <w:sz w:val="24"/>
          <w:szCs w:val="24"/>
          <w:lang w:val="bs-Latn-BA" w:eastAsia="x-none"/>
        </w:rPr>
      </w:pPr>
      <w:r w:rsidRPr="00314FA4">
        <w:rPr>
          <w:rFonts w:ascii="Ebrima" w:eastAsia="Times New Roman" w:hAnsi="Ebrima" w:cs="Times New Roman"/>
          <w:b/>
          <w:sz w:val="24"/>
          <w:szCs w:val="24"/>
          <w:lang w:val="bs-Latn-BA" w:eastAsia="x-none"/>
        </w:rPr>
        <w:t xml:space="preserve">JAVNI DUG </w:t>
      </w:r>
    </w:p>
    <w:p w:rsidR="0040112E" w:rsidRPr="00314FA4" w:rsidRDefault="0040112E" w:rsidP="0040112E">
      <w:pPr>
        <w:spacing w:after="0" w:line="240" w:lineRule="auto"/>
        <w:jc w:val="both"/>
        <w:rPr>
          <w:rFonts w:ascii="Times New Roman" w:eastAsia="Times New Roman" w:hAnsi="Times New Roman" w:cs="Times New Roman"/>
          <w:lang w:val="bs-Latn-BA"/>
        </w:rPr>
      </w:pPr>
    </w:p>
    <w:p w:rsidR="00F92226" w:rsidRPr="00314FA4" w:rsidRDefault="00726939" w:rsidP="00726939">
      <w:pPr>
        <w:spacing w:after="0" w:line="240" w:lineRule="auto"/>
        <w:contextualSpacing/>
        <w:jc w:val="both"/>
        <w:rPr>
          <w:rFonts w:ascii="Ebrima" w:eastAsia="Times New Roman" w:hAnsi="Ebrima" w:cs="Times New Roman"/>
          <w:sz w:val="24"/>
          <w:szCs w:val="24"/>
          <w:lang w:val="bs-Latn-BA"/>
        </w:rPr>
      </w:pPr>
      <w:r w:rsidRPr="00314FA4">
        <w:rPr>
          <w:rFonts w:ascii="Ebrima" w:eastAsia="Times New Roman" w:hAnsi="Ebrima" w:cs="Times New Roman"/>
          <w:spacing w:val="-2"/>
          <w:sz w:val="24"/>
          <w:szCs w:val="24"/>
          <w:lang w:val="bs-Latn-BA"/>
        </w:rPr>
        <w:t>Javni dug Bosansko-podrinjskog kantona</w:t>
      </w:r>
      <w:r w:rsidR="0040112E" w:rsidRPr="00314FA4">
        <w:rPr>
          <w:rFonts w:ascii="Ebrima" w:eastAsia="Times New Roman" w:hAnsi="Ebrima" w:cs="Times New Roman"/>
          <w:spacing w:val="-2"/>
          <w:sz w:val="24"/>
          <w:szCs w:val="24"/>
          <w:lang w:val="bs-Latn-BA"/>
        </w:rPr>
        <w:t xml:space="preserve"> Goražde</w:t>
      </w:r>
      <w:r w:rsidR="0040112E" w:rsidRPr="00314FA4">
        <w:rPr>
          <w:rFonts w:ascii="Ebrima" w:eastAsia="Times New Roman" w:hAnsi="Ebrima" w:cs="Times New Roman"/>
          <w:sz w:val="24"/>
          <w:szCs w:val="24"/>
          <w:lang w:val="bs-Latn-BA"/>
        </w:rPr>
        <w:t xml:space="preserve"> </w:t>
      </w:r>
      <w:r w:rsidR="00B0455C" w:rsidRPr="00314FA4">
        <w:rPr>
          <w:rFonts w:ascii="Ebrima" w:eastAsia="Times New Roman" w:hAnsi="Ebrima" w:cs="Times New Roman"/>
          <w:sz w:val="24"/>
          <w:szCs w:val="24"/>
          <w:lang w:val="bs-Latn-BA"/>
        </w:rPr>
        <w:t>u periodu 2024.-2026</w:t>
      </w:r>
      <w:r w:rsidR="00BE7A39" w:rsidRPr="00314FA4">
        <w:rPr>
          <w:rFonts w:ascii="Ebrima" w:eastAsia="Times New Roman" w:hAnsi="Ebrima" w:cs="Times New Roman"/>
          <w:sz w:val="24"/>
          <w:szCs w:val="24"/>
          <w:lang w:val="bs-Latn-BA"/>
        </w:rPr>
        <w:t xml:space="preserve">. godina odnosi se na dug </w:t>
      </w:r>
      <w:r w:rsidR="0040112E" w:rsidRPr="00314FA4">
        <w:rPr>
          <w:rFonts w:ascii="Ebrima" w:eastAsia="Times New Roman" w:hAnsi="Ebrima" w:cs="Times New Roman"/>
          <w:sz w:val="24"/>
          <w:szCs w:val="24"/>
          <w:lang w:val="bs-Latn-BA"/>
        </w:rPr>
        <w:t>po</w:t>
      </w:r>
      <w:r w:rsidR="00F92226" w:rsidRPr="00314FA4">
        <w:rPr>
          <w:rFonts w:ascii="Ebrima" w:eastAsia="Times New Roman" w:hAnsi="Ebrima" w:cs="Times New Roman"/>
          <w:sz w:val="24"/>
          <w:szCs w:val="24"/>
          <w:lang w:val="bs-Latn-BA"/>
        </w:rPr>
        <w:t xml:space="preserve"> dva osnova i to za:</w:t>
      </w:r>
    </w:p>
    <w:p w:rsidR="00F92226" w:rsidRPr="00314FA4" w:rsidRDefault="00F92226" w:rsidP="007544D0">
      <w:pPr>
        <w:pStyle w:val="ListParagraph"/>
        <w:numPr>
          <w:ilvl w:val="0"/>
          <w:numId w:val="5"/>
        </w:numPr>
        <w:spacing w:after="0" w:line="240" w:lineRule="auto"/>
        <w:ind w:left="0" w:firstLine="360"/>
        <w:contextualSpacing/>
        <w:jc w:val="both"/>
        <w:rPr>
          <w:rFonts w:ascii="Ebrima" w:eastAsia="Times New Roman" w:hAnsi="Ebrima"/>
          <w:sz w:val="24"/>
          <w:szCs w:val="24"/>
          <w:lang w:val="bs-Latn-BA"/>
        </w:rPr>
      </w:pPr>
      <w:r w:rsidRPr="00314FA4">
        <w:rPr>
          <w:rFonts w:ascii="Ebrima" w:eastAsia="Times New Roman" w:hAnsi="Ebrima"/>
          <w:b/>
          <w:sz w:val="24"/>
          <w:szCs w:val="24"/>
          <w:lang w:val="bs-Latn-BA"/>
        </w:rPr>
        <w:t>Ugovor o Stand by aranžmanu MMF-a</w:t>
      </w:r>
      <w:r w:rsidRPr="00314FA4">
        <w:rPr>
          <w:b/>
          <w:vertAlign w:val="superscript"/>
          <w:lang w:val="bs-Latn-BA"/>
        </w:rPr>
        <w:footnoteReference w:id="11"/>
      </w:r>
      <w:r w:rsidRPr="00314FA4">
        <w:rPr>
          <w:rFonts w:ascii="Ebrima" w:eastAsia="Times New Roman" w:hAnsi="Ebrima"/>
          <w:sz w:val="24"/>
          <w:szCs w:val="24"/>
          <w:lang w:val="bs-Latn-BA"/>
        </w:rPr>
        <w:t xml:space="preserve"> između Federacije BiH i Bosansko-podrinjskog kantona potpisan je</w:t>
      </w:r>
      <w:r w:rsidR="007544D0" w:rsidRPr="00314FA4">
        <w:rPr>
          <w:rFonts w:ascii="Ebrima" w:eastAsia="Times New Roman" w:hAnsi="Ebrima"/>
          <w:sz w:val="24"/>
          <w:szCs w:val="24"/>
          <w:lang w:val="bs-Latn-BA"/>
        </w:rPr>
        <w:t xml:space="preserve"> 2009. godine u iznosu od 8.700.000 KM, pa rađen reprogram istog 2012. godine.</w:t>
      </w:r>
    </w:p>
    <w:p w:rsidR="00F92226" w:rsidRPr="00314FA4" w:rsidRDefault="00F92226" w:rsidP="00F92226">
      <w:pPr>
        <w:spacing w:after="0" w:line="240" w:lineRule="auto"/>
        <w:contextualSpacing/>
        <w:jc w:val="both"/>
        <w:rPr>
          <w:rFonts w:ascii="Ebrima" w:eastAsia="Times New Roman" w:hAnsi="Ebrima" w:cs="Times New Roman"/>
          <w:sz w:val="24"/>
          <w:szCs w:val="24"/>
          <w:lang w:val="bs-Latn-BA"/>
        </w:rPr>
      </w:pPr>
      <w:r w:rsidRPr="00314FA4">
        <w:rPr>
          <w:rFonts w:ascii="Ebrima" w:eastAsia="Times New Roman" w:hAnsi="Ebrima" w:cs="Times New Roman"/>
          <w:sz w:val="24"/>
          <w:szCs w:val="24"/>
          <w:lang w:val="bs-Latn-BA"/>
        </w:rPr>
        <w:t>Grase period za izmirenje obaveza je bio 2 godine, a otplata kredita je trebala započeti 20014. godine i isti je po tom Ugovoru trebao biti izmiren u roku od 5. godina odnosno 2019. godine.</w:t>
      </w:r>
      <w:r w:rsidR="00F52474" w:rsidRPr="00314FA4">
        <w:rPr>
          <w:rFonts w:ascii="Ebrima" w:eastAsia="Times New Roman" w:hAnsi="Ebrima" w:cs="Times New Roman"/>
          <w:sz w:val="24"/>
          <w:szCs w:val="24"/>
          <w:lang w:val="bs-Latn-BA"/>
        </w:rPr>
        <w:t xml:space="preserve"> </w:t>
      </w:r>
      <w:r w:rsidRPr="00314FA4">
        <w:rPr>
          <w:rFonts w:ascii="Ebrima" w:eastAsia="Times New Roman" w:hAnsi="Ebrima" w:cs="Times New Roman"/>
          <w:sz w:val="24"/>
          <w:szCs w:val="24"/>
          <w:lang w:val="bs-Latn-BA"/>
        </w:rPr>
        <w:t xml:space="preserve">Dug po ovom osnovu, a koji se odnosi na otplate glavnice i kamate ukupno iznosi </w:t>
      </w:r>
      <w:r w:rsidRPr="00314FA4">
        <w:rPr>
          <w:rFonts w:ascii="Ebrima" w:eastAsia="Times New Roman" w:hAnsi="Ebrima" w:cs="Times New Roman"/>
          <w:b/>
          <w:sz w:val="24"/>
          <w:szCs w:val="24"/>
          <w:lang w:val="bs-Latn-BA"/>
        </w:rPr>
        <w:t>9.472.439 KM</w:t>
      </w:r>
      <w:r w:rsidRPr="00314FA4">
        <w:rPr>
          <w:rFonts w:ascii="Ebrima" w:eastAsia="Times New Roman" w:hAnsi="Ebrima" w:cs="Times New Roman"/>
          <w:sz w:val="24"/>
          <w:szCs w:val="24"/>
          <w:lang w:val="bs-Latn-BA"/>
        </w:rPr>
        <w:t xml:space="preserve"> isti je uknjižen Odlukom Skupštine BPK-a Goražde kao dugoročni dug Kantona al</w:t>
      </w:r>
      <w:r w:rsidR="000444F6" w:rsidRPr="00314FA4">
        <w:rPr>
          <w:rFonts w:ascii="Ebrima" w:eastAsia="Times New Roman" w:hAnsi="Ebrima" w:cs="Times New Roman"/>
          <w:sz w:val="24"/>
          <w:szCs w:val="24"/>
          <w:lang w:val="bs-Latn-BA"/>
        </w:rPr>
        <w:t>i</w:t>
      </w:r>
      <w:r w:rsidRPr="00314FA4">
        <w:rPr>
          <w:rFonts w:ascii="Ebrima" w:eastAsia="Times New Roman" w:hAnsi="Ebrima" w:cs="Times New Roman"/>
          <w:sz w:val="24"/>
          <w:szCs w:val="24"/>
          <w:lang w:val="bs-Latn-BA"/>
        </w:rPr>
        <w:t xml:space="preserve"> prispjele fakture po osnovu tog ugovora nisu uknjižene pa samim tim ni </w:t>
      </w:r>
      <w:r w:rsidR="000444F6" w:rsidRPr="00314FA4">
        <w:rPr>
          <w:rFonts w:ascii="Ebrima" w:eastAsia="Times New Roman" w:hAnsi="Ebrima" w:cs="Times New Roman"/>
          <w:sz w:val="24"/>
          <w:szCs w:val="24"/>
          <w:lang w:val="bs-Latn-BA"/>
        </w:rPr>
        <w:t xml:space="preserve">plaćene niti se iste planiraju za izmirenje kroz Budžet Bosansko-podrinjskog kantona </w:t>
      </w:r>
      <w:r w:rsidR="00D94B30" w:rsidRPr="00314FA4">
        <w:rPr>
          <w:rFonts w:ascii="Ebrima" w:eastAsia="Times New Roman" w:hAnsi="Ebrima" w:cs="Times New Roman"/>
          <w:sz w:val="24"/>
          <w:szCs w:val="24"/>
          <w:lang w:val="bs-Latn-BA"/>
        </w:rPr>
        <w:t>Goražde.</w:t>
      </w:r>
      <w:r w:rsidR="00F52474" w:rsidRPr="00314FA4">
        <w:rPr>
          <w:rFonts w:ascii="Ebrima" w:eastAsia="Times New Roman" w:hAnsi="Ebrima" w:cs="Times New Roman"/>
          <w:sz w:val="24"/>
          <w:szCs w:val="24"/>
          <w:lang w:val="bs-Latn-BA"/>
        </w:rPr>
        <w:t xml:space="preserve"> </w:t>
      </w:r>
      <w:r w:rsidRPr="00314FA4">
        <w:rPr>
          <w:rFonts w:ascii="Ebrima" w:eastAsia="Times New Roman" w:hAnsi="Ebrima" w:cs="Times New Roman"/>
          <w:sz w:val="24"/>
          <w:szCs w:val="24"/>
          <w:lang w:val="bs-Latn-BA"/>
        </w:rPr>
        <w:t>Po pitanju ovih obaveza Ministarstvo za finansije je u toku 2020. godine pokrenulo određene aktivnosti koje se odnose na reprogram ovih obaveza, te je od strane Federalnog ministarstva finansija dobilo saglasnost da krene u procedu</w:t>
      </w:r>
      <w:r w:rsidR="00B0455C" w:rsidRPr="00314FA4">
        <w:rPr>
          <w:rFonts w:ascii="Ebrima" w:eastAsia="Times New Roman" w:hAnsi="Ebrima" w:cs="Times New Roman"/>
          <w:sz w:val="24"/>
          <w:szCs w:val="24"/>
          <w:lang w:val="bs-Latn-BA"/>
        </w:rPr>
        <w:t>ru reprograma, ali još uvijek</w:t>
      </w:r>
      <w:r w:rsidRPr="00314FA4">
        <w:rPr>
          <w:rFonts w:ascii="Ebrima" w:eastAsia="Times New Roman" w:hAnsi="Ebrima" w:cs="Times New Roman"/>
          <w:sz w:val="24"/>
          <w:szCs w:val="24"/>
          <w:lang w:val="bs-Latn-BA"/>
        </w:rPr>
        <w:t xml:space="preserve"> nije donošena konačn</w:t>
      </w:r>
      <w:r w:rsidR="00D94B30" w:rsidRPr="00314FA4">
        <w:rPr>
          <w:rFonts w:ascii="Ebrima" w:eastAsia="Times New Roman" w:hAnsi="Ebrima" w:cs="Times New Roman"/>
          <w:sz w:val="24"/>
          <w:szCs w:val="24"/>
          <w:lang w:val="bs-Latn-BA"/>
        </w:rPr>
        <w:t>a</w:t>
      </w:r>
      <w:r w:rsidRPr="00314FA4">
        <w:rPr>
          <w:rFonts w:ascii="Ebrima" w:eastAsia="Times New Roman" w:hAnsi="Ebrima" w:cs="Times New Roman"/>
          <w:sz w:val="24"/>
          <w:szCs w:val="24"/>
          <w:lang w:val="bs-Latn-BA"/>
        </w:rPr>
        <w:t xml:space="preserve"> odluka po ovom pitanju.</w:t>
      </w:r>
    </w:p>
    <w:p w:rsidR="00EC2F95" w:rsidRPr="00314FA4" w:rsidRDefault="007544D0" w:rsidP="007544D0">
      <w:pPr>
        <w:pStyle w:val="ListParagraph"/>
        <w:numPr>
          <w:ilvl w:val="0"/>
          <w:numId w:val="5"/>
        </w:numPr>
        <w:spacing w:after="0" w:line="240" w:lineRule="auto"/>
        <w:ind w:left="0" w:right="146" w:firstLine="360"/>
        <w:contextualSpacing/>
        <w:jc w:val="both"/>
        <w:rPr>
          <w:rFonts w:ascii="Ebrima" w:eastAsia="Times New Roman" w:hAnsi="Ebrima"/>
          <w:sz w:val="24"/>
          <w:szCs w:val="24"/>
          <w:lang w:val="bs-Latn-BA"/>
        </w:rPr>
      </w:pPr>
      <w:r w:rsidRPr="00314FA4">
        <w:rPr>
          <w:rFonts w:ascii="Ebrima" w:eastAsia="Times New Roman" w:hAnsi="Ebrima"/>
          <w:b/>
          <w:sz w:val="24"/>
          <w:szCs w:val="24"/>
          <w:lang w:val="bs-Latn-BA"/>
        </w:rPr>
        <w:t>Porše Lizzing-</w:t>
      </w:r>
      <w:r w:rsidR="00065922" w:rsidRPr="00314FA4">
        <w:rPr>
          <w:rFonts w:ascii="Ebrima" w:eastAsia="Times New Roman" w:hAnsi="Ebrima"/>
          <w:b/>
          <w:sz w:val="24"/>
          <w:szCs w:val="24"/>
          <w:lang w:val="bs-Latn-BA"/>
        </w:rPr>
        <w:t xml:space="preserve"> </w:t>
      </w:r>
      <w:r w:rsidR="00EC2F95" w:rsidRPr="00314FA4">
        <w:rPr>
          <w:rFonts w:ascii="Ebrima" w:eastAsia="Times New Roman" w:hAnsi="Ebrima"/>
          <w:sz w:val="24"/>
          <w:szCs w:val="24"/>
          <w:lang w:val="bs-Latn-BA"/>
        </w:rPr>
        <w:t>Odnosi se na nabavka automobila putem lizinga u iznosu od 87.713 KM Lizing čija je otplata započela 2019. godine</w:t>
      </w:r>
      <w:r w:rsidR="00D94B30" w:rsidRPr="00314FA4">
        <w:rPr>
          <w:rFonts w:ascii="Ebrima" w:eastAsia="Times New Roman" w:hAnsi="Ebrima"/>
          <w:sz w:val="24"/>
          <w:szCs w:val="24"/>
          <w:lang w:val="bs-Latn-BA"/>
        </w:rPr>
        <w:t xml:space="preserve"> i ista</w:t>
      </w:r>
      <w:r w:rsidR="00EC2F95" w:rsidRPr="00314FA4">
        <w:rPr>
          <w:rFonts w:ascii="Ebrima" w:eastAsia="Times New Roman" w:hAnsi="Ebrima"/>
          <w:sz w:val="24"/>
          <w:szCs w:val="24"/>
          <w:lang w:val="bs-Latn-BA"/>
        </w:rPr>
        <w:t xml:space="preserve"> dospjeva u decembru 2024. godine.</w:t>
      </w:r>
    </w:p>
    <w:p w:rsidR="00EC2F95" w:rsidRPr="00314FA4" w:rsidRDefault="00F92226" w:rsidP="00EC2F95">
      <w:pPr>
        <w:spacing w:after="0" w:line="240" w:lineRule="auto"/>
        <w:contextualSpacing/>
        <w:jc w:val="both"/>
        <w:rPr>
          <w:rFonts w:ascii="Ebrima" w:eastAsia="Times New Roman" w:hAnsi="Ebrima" w:cs="Times New Roman"/>
          <w:sz w:val="24"/>
          <w:szCs w:val="24"/>
          <w:lang w:val="bs-Latn-BA"/>
        </w:rPr>
      </w:pPr>
      <w:r w:rsidRPr="00314FA4">
        <w:rPr>
          <w:rFonts w:ascii="Ebrima" w:eastAsia="Times New Roman" w:hAnsi="Ebrima" w:cs="Times New Roman"/>
          <w:sz w:val="24"/>
          <w:szCs w:val="24"/>
          <w:lang w:val="bs-Latn-BA"/>
        </w:rPr>
        <w:t>D</w:t>
      </w:r>
      <w:r w:rsidR="00EC2F95" w:rsidRPr="00314FA4">
        <w:rPr>
          <w:rFonts w:ascii="Ebrima" w:eastAsia="Times New Roman" w:hAnsi="Ebrima" w:cs="Times New Roman"/>
          <w:sz w:val="24"/>
          <w:szCs w:val="24"/>
          <w:lang w:val="bs-Latn-BA"/>
        </w:rPr>
        <w:t xml:space="preserve">ug po ovom osnovu na dan </w:t>
      </w:r>
      <w:r w:rsidR="00B0455C" w:rsidRPr="00314FA4">
        <w:rPr>
          <w:rFonts w:ascii="Ebrima" w:eastAsia="Times New Roman" w:hAnsi="Ebrima" w:cs="Times New Roman"/>
          <w:sz w:val="24"/>
          <w:szCs w:val="24"/>
          <w:lang w:val="bs-Latn-BA"/>
        </w:rPr>
        <w:t>31.03.2023</w:t>
      </w:r>
      <w:r w:rsidR="00EC2F95" w:rsidRPr="00314FA4">
        <w:rPr>
          <w:rFonts w:ascii="Ebrima" w:eastAsia="Times New Roman" w:hAnsi="Ebrima" w:cs="Times New Roman"/>
          <w:sz w:val="24"/>
          <w:szCs w:val="24"/>
          <w:lang w:val="bs-Latn-BA"/>
        </w:rPr>
        <w:t>. godine iznosi</w:t>
      </w:r>
      <w:r w:rsidRPr="00314FA4">
        <w:rPr>
          <w:rFonts w:ascii="Ebrima" w:eastAsia="Times New Roman" w:hAnsi="Ebrima" w:cs="Times New Roman"/>
          <w:sz w:val="24"/>
          <w:szCs w:val="24"/>
          <w:lang w:val="bs-Latn-BA"/>
        </w:rPr>
        <w:t>o je</w:t>
      </w:r>
      <w:r w:rsidR="00EC2F95" w:rsidRPr="00314FA4">
        <w:rPr>
          <w:rFonts w:ascii="Ebrima" w:eastAsia="Times New Roman" w:hAnsi="Ebrima" w:cs="Times New Roman"/>
          <w:sz w:val="24"/>
          <w:szCs w:val="24"/>
          <w:lang w:val="bs-Latn-BA"/>
        </w:rPr>
        <w:t xml:space="preserve"> </w:t>
      </w:r>
      <w:r w:rsidR="009124C2">
        <w:rPr>
          <w:rFonts w:ascii="Ebrima" w:eastAsia="Times New Roman" w:hAnsi="Ebrima" w:cs="Times New Roman"/>
          <w:sz w:val="24"/>
          <w:szCs w:val="24"/>
          <w:lang w:val="bs-Latn-BA"/>
        </w:rPr>
        <w:t xml:space="preserve"> ukupno  23.892 KM od čega 22.472 KM  glavnica  i 1.420</w:t>
      </w:r>
      <w:r w:rsidR="00EC2F95" w:rsidRPr="00314FA4">
        <w:rPr>
          <w:rFonts w:ascii="Ebrima" w:eastAsia="Times New Roman" w:hAnsi="Ebrima" w:cs="Times New Roman"/>
          <w:sz w:val="24"/>
          <w:szCs w:val="24"/>
          <w:lang w:val="bs-Latn-BA"/>
        </w:rPr>
        <w:t xml:space="preserve"> KM</w:t>
      </w:r>
      <w:r w:rsidR="009124C2">
        <w:rPr>
          <w:rFonts w:ascii="Ebrima" w:eastAsia="Times New Roman" w:hAnsi="Ebrima" w:cs="Times New Roman"/>
          <w:sz w:val="24"/>
          <w:szCs w:val="24"/>
          <w:lang w:val="bs-Latn-BA"/>
        </w:rPr>
        <w:t xml:space="preserve"> kamata</w:t>
      </w:r>
      <w:r w:rsidR="00D94B30" w:rsidRPr="00314FA4">
        <w:rPr>
          <w:rFonts w:ascii="Ebrima" w:eastAsia="Times New Roman" w:hAnsi="Ebrima" w:cs="Times New Roman"/>
          <w:sz w:val="24"/>
          <w:szCs w:val="24"/>
          <w:lang w:val="bs-Latn-BA"/>
        </w:rPr>
        <w:t>.</w:t>
      </w:r>
    </w:p>
    <w:p w:rsidR="0040112E" w:rsidRPr="00314FA4" w:rsidRDefault="0040112E" w:rsidP="0040112E">
      <w:pPr>
        <w:spacing w:after="0" w:line="240" w:lineRule="auto"/>
        <w:jc w:val="both"/>
        <w:rPr>
          <w:rFonts w:ascii="Ebrima" w:eastAsia="Times New Roman" w:hAnsi="Ebrima" w:cs="Times New Roman"/>
          <w:sz w:val="24"/>
          <w:szCs w:val="24"/>
          <w:lang w:val="bs-Latn-BA"/>
        </w:rPr>
      </w:pPr>
    </w:p>
    <w:p w:rsidR="001B5EFA" w:rsidRPr="00314FA4" w:rsidRDefault="00635E59" w:rsidP="00635E59">
      <w:pPr>
        <w:tabs>
          <w:tab w:val="left" w:pos="1515"/>
        </w:tabs>
        <w:spacing w:after="0" w:line="240" w:lineRule="auto"/>
        <w:rPr>
          <w:rFonts w:ascii="Ebrima" w:eastAsia="Times New Roman" w:hAnsi="Ebrima" w:cs="Times New Roman"/>
          <w:b/>
          <w:bCs/>
          <w:sz w:val="24"/>
          <w:szCs w:val="24"/>
          <w:lang w:val="hr-HR"/>
        </w:rPr>
      </w:pPr>
      <w:r w:rsidRPr="00314FA4">
        <w:rPr>
          <w:rFonts w:ascii="Ebrima" w:eastAsia="Times New Roman" w:hAnsi="Ebrima" w:cs="Times New Roman"/>
          <w:b/>
          <w:bCs/>
          <w:sz w:val="24"/>
          <w:szCs w:val="24"/>
          <w:lang w:val="hr-HR"/>
        </w:rPr>
        <w:t xml:space="preserve">Rizici po projekciji prihoda </w:t>
      </w:r>
    </w:p>
    <w:p w:rsidR="007C1A0B" w:rsidRPr="00314FA4" w:rsidRDefault="007C1A0B" w:rsidP="00635E59">
      <w:pPr>
        <w:tabs>
          <w:tab w:val="left" w:pos="1515"/>
        </w:tabs>
        <w:spacing w:after="0" w:line="240" w:lineRule="auto"/>
        <w:rPr>
          <w:rFonts w:ascii="Ebrima" w:eastAsia="Times New Roman" w:hAnsi="Ebrima" w:cs="Times New Roman"/>
          <w:b/>
          <w:bCs/>
          <w:sz w:val="24"/>
          <w:szCs w:val="24"/>
          <w:lang w:val="hr-HR"/>
        </w:rPr>
      </w:pPr>
    </w:p>
    <w:p w:rsidR="00635E59" w:rsidRPr="00314FA4" w:rsidRDefault="007C1A0B" w:rsidP="008425D2">
      <w:pPr>
        <w:tabs>
          <w:tab w:val="left" w:pos="1515"/>
        </w:tabs>
        <w:spacing w:after="0" w:line="240" w:lineRule="auto"/>
        <w:jc w:val="both"/>
        <w:rPr>
          <w:rFonts w:ascii="Ebrima" w:eastAsia="Times New Roman" w:hAnsi="Ebrima" w:cs="Times New Roman"/>
          <w:bCs/>
          <w:sz w:val="24"/>
          <w:szCs w:val="24"/>
          <w:lang w:val="hr-HR"/>
        </w:rPr>
      </w:pPr>
      <w:r w:rsidRPr="00314FA4">
        <w:rPr>
          <w:rFonts w:ascii="Ebrima" w:eastAsia="Times New Roman" w:hAnsi="Ebrima" w:cs="Times New Roman"/>
          <w:bCs/>
          <w:sz w:val="24"/>
          <w:szCs w:val="24"/>
          <w:lang w:val="hr-HR"/>
        </w:rPr>
        <w:t>R</w:t>
      </w:r>
      <w:r w:rsidR="00635E59" w:rsidRPr="00314FA4">
        <w:rPr>
          <w:rFonts w:ascii="Ebrima" w:eastAsia="Times New Roman" w:hAnsi="Ebrima" w:cs="Times New Roman"/>
          <w:bCs/>
          <w:sz w:val="24"/>
          <w:szCs w:val="24"/>
          <w:lang w:val="hr-HR"/>
        </w:rPr>
        <w:t xml:space="preserve">izik od predložene projekcije prihoda </w:t>
      </w:r>
      <w:r w:rsidRPr="00314FA4">
        <w:rPr>
          <w:rFonts w:ascii="Ebrima" w:eastAsia="Times New Roman" w:hAnsi="Ebrima" w:cs="Times New Roman"/>
          <w:bCs/>
          <w:sz w:val="24"/>
          <w:szCs w:val="24"/>
          <w:lang w:val="hr-HR"/>
        </w:rPr>
        <w:t xml:space="preserve">postoji </w:t>
      </w:r>
      <w:r w:rsidR="00635E59" w:rsidRPr="00314FA4">
        <w:rPr>
          <w:rFonts w:ascii="Ebrima" w:eastAsia="Times New Roman" w:hAnsi="Ebrima" w:cs="Times New Roman"/>
          <w:bCs/>
          <w:sz w:val="24"/>
          <w:szCs w:val="24"/>
          <w:lang w:val="hr-HR"/>
        </w:rPr>
        <w:t xml:space="preserve">u smislu da će </w:t>
      </w:r>
      <w:r w:rsidR="00B1356A" w:rsidRPr="00314FA4">
        <w:rPr>
          <w:rFonts w:ascii="Ebrima" w:eastAsia="Times New Roman" w:hAnsi="Ebrima" w:cs="Times New Roman"/>
          <w:bCs/>
          <w:sz w:val="24"/>
          <w:szCs w:val="24"/>
          <w:lang w:val="hr-HR"/>
        </w:rPr>
        <w:t xml:space="preserve">isti </w:t>
      </w:r>
      <w:r w:rsidR="00635E59" w:rsidRPr="00314FA4">
        <w:rPr>
          <w:rFonts w:ascii="Ebrima" w:eastAsia="Times New Roman" w:hAnsi="Ebrima" w:cs="Times New Roman"/>
          <w:bCs/>
          <w:sz w:val="24"/>
          <w:szCs w:val="24"/>
          <w:lang w:val="hr-HR"/>
        </w:rPr>
        <w:t xml:space="preserve">u velikoj mjeri zavisiti </w:t>
      </w:r>
      <w:r w:rsidRPr="00314FA4">
        <w:rPr>
          <w:rFonts w:ascii="Ebrima" w:eastAsia="Times New Roman" w:hAnsi="Ebrima" w:cs="Times New Roman"/>
          <w:bCs/>
          <w:sz w:val="24"/>
          <w:szCs w:val="24"/>
          <w:lang w:val="hr-HR"/>
        </w:rPr>
        <w:t xml:space="preserve">ostavrenje prihoda </w:t>
      </w:r>
      <w:r w:rsidR="00635E59" w:rsidRPr="00314FA4">
        <w:rPr>
          <w:rFonts w:ascii="Ebrima" w:eastAsia="Times New Roman" w:hAnsi="Ebrima" w:cs="Times New Roman"/>
          <w:bCs/>
          <w:sz w:val="24"/>
          <w:szCs w:val="24"/>
          <w:lang w:val="hr-HR"/>
        </w:rPr>
        <w:t xml:space="preserve">od stanja koje prouzrokuje </w:t>
      </w:r>
      <w:r w:rsidRPr="00314FA4">
        <w:rPr>
          <w:rFonts w:ascii="Ebrima" w:eastAsia="Times New Roman" w:hAnsi="Ebrima" w:cs="Times New Roman"/>
          <w:bCs/>
          <w:sz w:val="24"/>
          <w:szCs w:val="24"/>
          <w:lang w:val="hr-HR"/>
        </w:rPr>
        <w:t>opše društvena ekonomska i politička situacija u državi, u okruženji i svijetu generalno. O</w:t>
      </w:r>
      <w:r w:rsidR="00635E59" w:rsidRPr="00314FA4">
        <w:rPr>
          <w:rFonts w:ascii="Ebrima" w:eastAsia="Times New Roman" w:hAnsi="Ebrima" w:cs="Times New Roman"/>
          <w:bCs/>
          <w:sz w:val="24"/>
          <w:szCs w:val="24"/>
          <w:lang w:val="hr-HR"/>
        </w:rPr>
        <w:t>d ostvarenja prihoda posebno s</w:t>
      </w:r>
      <w:r w:rsidR="00B1356A" w:rsidRPr="00314FA4">
        <w:rPr>
          <w:rFonts w:ascii="Ebrima" w:eastAsia="Times New Roman" w:hAnsi="Ebrima" w:cs="Times New Roman"/>
          <w:bCs/>
          <w:sz w:val="24"/>
          <w:szCs w:val="24"/>
          <w:lang w:val="hr-HR"/>
        </w:rPr>
        <w:t>a akcentom na porezne prihode- p</w:t>
      </w:r>
      <w:r w:rsidR="00635E59" w:rsidRPr="00314FA4">
        <w:rPr>
          <w:rFonts w:ascii="Ebrima" w:eastAsia="Times New Roman" w:hAnsi="Ebrima" w:cs="Times New Roman"/>
          <w:bCs/>
          <w:sz w:val="24"/>
          <w:szCs w:val="24"/>
          <w:lang w:val="hr-HR"/>
        </w:rPr>
        <w:t>rihode od PDV-a</w:t>
      </w:r>
      <w:r w:rsidR="00B1356A" w:rsidRPr="00314FA4">
        <w:rPr>
          <w:rFonts w:ascii="Ebrima" w:eastAsia="Times New Roman" w:hAnsi="Ebrima" w:cs="Times New Roman"/>
          <w:bCs/>
          <w:sz w:val="24"/>
          <w:szCs w:val="24"/>
          <w:lang w:val="hr-HR"/>
        </w:rPr>
        <w:t>,</w:t>
      </w:r>
      <w:r w:rsidR="00646662" w:rsidRPr="00314FA4">
        <w:rPr>
          <w:rFonts w:ascii="Ebrima" w:eastAsia="Times New Roman" w:hAnsi="Ebrima" w:cs="Times New Roman"/>
          <w:bCs/>
          <w:sz w:val="24"/>
          <w:szCs w:val="24"/>
          <w:lang w:val="hr-HR"/>
        </w:rPr>
        <w:t xml:space="preserve"> rasta cijena, </w:t>
      </w:r>
      <w:r w:rsidR="00635E59" w:rsidRPr="00314FA4">
        <w:rPr>
          <w:rFonts w:ascii="Ebrima" w:eastAsia="Times New Roman" w:hAnsi="Ebrima" w:cs="Times New Roman"/>
          <w:bCs/>
          <w:sz w:val="24"/>
          <w:szCs w:val="24"/>
          <w:lang w:val="hr-HR"/>
        </w:rPr>
        <w:t>opšte kupovne moći građana, transakcija imovine, zapošljavanja, investicija te niza drugih segmenata koji na ovaj ili onaj način utiču na ostvarenje istih.</w:t>
      </w:r>
    </w:p>
    <w:p w:rsidR="00635E59" w:rsidRPr="00314FA4" w:rsidRDefault="00635E59" w:rsidP="008425D2">
      <w:pPr>
        <w:tabs>
          <w:tab w:val="left" w:pos="1515"/>
        </w:tabs>
        <w:spacing w:after="0" w:line="240" w:lineRule="auto"/>
        <w:jc w:val="both"/>
        <w:rPr>
          <w:rFonts w:ascii="Ebrima" w:eastAsia="Times New Roman" w:hAnsi="Ebrima" w:cs="Times New Roman"/>
          <w:bCs/>
          <w:sz w:val="24"/>
          <w:szCs w:val="24"/>
          <w:lang w:val="hr-HR"/>
        </w:rPr>
      </w:pPr>
      <w:r w:rsidRPr="00314FA4">
        <w:rPr>
          <w:rFonts w:ascii="Ebrima" w:eastAsia="Times New Roman" w:hAnsi="Ebrima" w:cs="Times New Roman"/>
          <w:bCs/>
          <w:sz w:val="24"/>
          <w:szCs w:val="24"/>
          <w:lang w:val="hr-HR"/>
        </w:rPr>
        <w:lastRenderedPageBreak/>
        <w:t>Ostvarenje prihoda predloženo ovim Smjernic</w:t>
      </w:r>
      <w:r w:rsidR="008326AB" w:rsidRPr="00314FA4">
        <w:rPr>
          <w:rFonts w:ascii="Ebrima" w:eastAsia="Times New Roman" w:hAnsi="Ebrima" w:cs="Times New Roman"/>
          <w:bCs/>
          <w:sz w:val="24"/>
          <w:szCs w:val="24"/>
          <w:lang w:val="hr-HR"/>
        </w:rPr>
        <w:t>ama sa posebnim akcentom na 2024</w:t>
      </w:r>
      <w:r w:rsidRPr="00314FA4">
        <w:rPr>
          <w:rFonts w:ascii="Ebrima" w:eastAsia="Times New Roman" w:hAnsi="Ebrima" w:cs="Times New Roman"/>
          <w:bCs/>
          <w:sz w:val="24"/>
          <w:szCs w:val="24"/>
          <w:lang w:val="hr-HR"/>
        </w:rPr>
        <w:t>. godinu bez planiranih grant sredstava iz Budžeta Federacije BiH grubom procjenom su sredstva koja vjerovatno</w:t>
      </w:r>
      <w:r w:rsidR="008326AB" w:rsidRPr="00314FA4">
        <w:rPr>
          <w:rFonts w:ascii="Ebrima" w:eastAsia="Times New Roman" w:hAnsi="Ebrima" w:cs="Times New Roman"/>
          <w:bCs/>
          <w:sz w:val="24"/>
          <w:szCs w:val="24"/>
          <w:lang w:val="hr-HR"/>
        </w:rPr>
        <w:t xml:space="preserve"> </w:t>
      </w:r>
      <w:r w:rsidRPr="00314FA4">
        <w:rPr>
          <w:rFonts w:ascii="Ebrima" w:eastAsia="Times New Roman" w:hAnsi="Ebrima" w:cs="Times New Roman"/>
          <w:bCs/>
          <w:sz w:val="24"/>
          <w:szCs w:val="24"/>
          <w:lang w:val="hr-HR"/>
        </w:rPr>
        <w:t>neće moći zadovoljiti sve potrebe koje će biti iskazane u zahtjevima po Instrukciji broj 1. (DOB-a</w:t>
      </w:r>
      <w:r w:rsidR="008425D2" w:rsidRPr="00314FA4">
        <w:rPr>
          <w:rFonts w:ascii="Ebrima" w:eastAsia="Times New Roman" w:hAnsi="Ebrima" w:cs="Times New Roman"/>
          <w:bCs/>
          <w:sz w:val="24"/>
          <w:szCs w:val="24"/>
          <w:lang w:val="hr-HR"/>
        </w:rPr>
        <w:t xml:space="preserve"> BPK-a Goražde</w:t>
      </w:r>
      <w:r w:rsidR="008326AB" w:rsidRPr="00314FA4">
        <w:rPr>
          <w:rFonts w:ascii="Ebrima" w:eastAsia="Times New Roman" w:hAnsi="Ebrima" w:cs="Times New Roman"/>
          <w:bCs/>
          <w:sz w:val="24"/>
          <w:szCs w:val="24"/>
          <w:lang w:val="hr-HR"/>
        </w:rPr>
        <w:t xml:space="preserve"> za period 2024</w:t>
      </w:r>
      <w:r w:rsidR="008425D2" w:rsidRPr="00314FA4">
        <w:rPr>
          <w:rFonts w:ascii="Ebrima" w:eastAsia="Times New Roman" w:hAnsi="Ebrima" w:cs="Times New Roman"/>
          <w:bCs/>
          <w:sz w:val="24"/>
          <w:szCs w:val="24"/>
          <w:lang w:val="hr-HR"/>
        </w:rPr>
        <w:t>.</w:t>
      </w:r>
      <w:r w:rsidR="008326AB" w:rsidRPr="00314FA4">
        <w:rPr>
          <w:rFonts w:ascii="Ebrima" w:eastAsia="Times New Roman" w:hAnsi="Ebrima" w:cs="Times New Roman"/>
          <w:bCs/>
          <w:sz w:val="24"/>
          <w:szCs w:val="24"/>
          <w:lang w:val="hr-HR"/>
        </w:rPr>
        <w:t>-2026</w:t>
      </w:r>
      <w:r w:rsidRPr="00314FA4">
        <w:rPr>
          <w:rFonts w:ascii="Ebrima" w:eastAsia="Times New Roman" w:hAnsi="Ebrima" w:cs="Times New Roman"/>
          <w:bCs/>
          <w:sz w:val="24"/>
          <w:szCs w:val="24"/>
          <w:lang w:val="hr-HR"/>
        </w:rPr>
        <w:t>. godina)</w:t>
      </w:r>
      <w:r w:rsidR="008326AB" w:rsidRPr="00314FA4">
        <w:rPr>
          <w:rFonts w:ascii="Ebrima" w:eastAsia="Times New Roman" w:hAnsi="Ebrima" w:cs="Times New Roman"/>
          <w:bCs/>
          <w:sz w:val="24"/>
          <w:szCs w:val="24"/>
          <w:lang w:val="hr-HR"/>
        </w:rPr>
        <w:t xml:space="preserve"> pretpostavka prizilazi iz ranijeg iskustva dostavljenih zahtjeva za sredstvima  u naredne tri godine.</w:t>
      </w:r>
      <w:r w:rsidRPr="00314FA4">
        <w:rPr>
          <w:rFonts w:ascii="Ebrima" w:eastAsia="Times New Roman" w:hAnsi="Ebrima" w:cs="Times New Roman"/>
          <w:bCs/>
          <w:sz w:val="24"/>
          <w:szCs w:val="24"/>
          <w:lang w:val="hr-HR"/>
        </w:rPr>
        <w:t xml:space="preserve"> </w:t>
      </w:r>
      <w:r w:rsidR="008326AB" w:rsidRPr="00314FA4">
        <w:rPr>
          <w:rFonts w:ascii="Ebrima" w:eastAsia="Times New Roman" w:hAnsi="Ebrima" w:cs="Times New Roman"/>
          <w:bCs/>
          <w:sz w:val="24"/>
          <w:szCs w:val="24"/>
          <w:lang w:val="hr-HR"/>
        </w:rPr>
        <w:t xml:space="preserve">Procjene prihoda će zadovoljiti one potrebe u </w:t>
      </w:r>
      <w:r w:rsidRPr="00314FA4">
        <w:rPr>
          <w:rFonts w:ascii="Ebrima" w:eastAsia="Times New Roman" w:hAnsi="Ebrima" w:cs="Times New Roman"/>
          <w:bCs/>
          <w:sz w:val="24"/>
          <w:szCs w:val="24"/>
          <w:lang w:val="hr-HR"/>
        </w:rPr>
        <w:t xml:space="preserve">rashodovnom smislu </w:t>
      </w:r>
      <w:r w:rsidR="00646662" w:rsidRPr="00314FA4">
        <w:rPr>
          <w:rFonts w:ascii="Ebrima" w:eastAsia="Times New Roman" w:hAnsi="Ebrima" w:cs="Times New Roman"/>
          <w:bCs/>
          <w:sz w:val="24"/>
          <w:szCs w:val="24"/>
          <w:lang w:val="hr-HR"/>
        </w:rPr>
        <w:t>koje se odnose na p</w:t>
      </w:r>
      <w:r w:rsidR="00BE7A39" w:rsidRPr="00314FA4">
        <w:rPr>
          <w:rFonts w:ascii="Ebrima" w:eastAsia="Times New Roman" w:hAnsi="Ebrima" w:cs="Times New Roman"/>
          <w:bCs/>
          <w:sz w:val="24"/>
          <w:szCs w:val="24"/>
          <w:lang w:val="hr-HR"/>
        </w:rPr>
        <w:t>laće i naknade uposlenih, materijalne troškove, socijalna i boračka davanja, izdatke za RTV, resursne sobe i predškolskog odgoj, stipendije, te dio nabavke opreme i rekonstrukcije, a sve ostale potrebe iskazane zahtjevom će se morati obezbjediti sredstva kroz druge izvore</w:t>
      </w:r>
      <w:r w:rsidR="007C1A0B" w:rsidRPr="00314FA4">
        <w:rPr>
          <w:rFonts w:ascii="Ebrima" w:eastAsia="Times New Roman" w:hAnsi="Ebrima" w:cs="Times New Roman"/>
          <w:bCs/>
          <w:sz w:val="24"/>
          <w:szCs w:val="24"/>
          <w:lang w:val="hr-HR"/>
        </w:rPr>
        <w:t>,</w:t>
      </w:r>
      <w:r w:rsidR="00BE7A39" w:rsidRPr="00314FA4">
        <w:rPr>
          <w:rFonts w:ascii="Ebrima" w:eastAsia="Times New Roman" w:hAnsi="Ebrima" w:cs="Times New Roman"/>
          <w:bCs/>
          <w:sz w:val="24"/>
          <w:szCs w:val="24"/>
          <w:lang w:val="hr-HR"/>
        </w:rPr>
        <w:t xml:space="preserve"> a najvećim dijelom oslanjajući se na sredstva iz budžeta Federacije BiH.</w:t>
      </w:r>
    </w:p>
    <w:p w:rsidR="00F92226" w:rsidRPr="00314FA4" w:rsidRDefault="00F92226" w:rsidP="00246B56">
      <w:pPr>
        <w:tabs>
          <w:tab w:val="left" w:pos="1515"/>
        </w:tabs>
        <w:spacing w:after="0" w:line="240" w:lineRule="auto"/>
        <w:jc w:val="center"/>
        <w:rPr>
          <w:rFonts w:ascii="Ebrima" w:eastAsia="Times New Roman" w:hAnsi="Ebrima" w:cs="Times New Roman"/>
          <w:b/>
          <w:bCs/>
          <w:sz w:val="24"/>
          <w:szCs w:val="24"/>
          <w:lang w:val="hr-HR"/>
        </w:rPr>
      </w:pPr>
    </w:p>
    <w:p w:rsidR="00246B56" w:rsidRPr="00314FA4" w:rsidRDefault="00C84A3C" w:rsidP="0079031A">
      <w:pPr>
        <w:tabs>
          <w:tab w:val="left" w:pos="1515"/>
          <w:tab w:val="left" w:pos="9356"/>
        </w:tabs>
        <w:spacing w:after="0" w:line="240" w:lineRule="auto"/>
        <w:rPr>
          <w:rFonts w:ascii="Ebrima" w:eastAsia="Times New Roman" w:hAnsi="Ebrima" w:cs="Times New Roman"/>
          <w:b/>
          <w:bCs/>
          <w:sz w:val="24"/>
          <w:szCs w:val="24"/>
          <w:lang w:val="hr-HR"/>
        </w:rPr>
      </w:pPr>
      <w:r w:rsidRPr="00314FA4">
        <w:rPr>
          <w:rFonts w:ascii="Ebrima" w:eastAsia="Times New Roman" w:hAnsi="Ebrima" w:cs="Times New Roman"/>
          <w:b/>
          <w:bCs/>
          <w:sz w:val="24"/>
          <w:szCs w:val="24"/>
          <w:lang w:val="hr-HR"/>
        </w:rPr>
        <w:t>MJERE</w:t>
      </w:r>
      <w:r w:rsidR="00246B56" w:rsidRPr="00314FA4">
        <w:rPr>
          <w:rFonts w:ascii="Ebrima" w:eastAsia="Times New Roman" w:hAnsi="Ebrima" w:cs="Times New Roman"/>
          <w:b/>
          <w:bCs/>
          <w:sz w:val="24"/>
          <w:szCs w:val="24"/>
          <w:lang w:val="hr-HR"/>
        </w:rPr>
        <w:t xml:space="preserve"> EKONOMSKE I FISKALNE POLITIKE KAO I DRUGE MJERE KOJE JE </w:t>
      </w:r>
      <w:r w:rsidR="0079031A" w:rsidRPr="00314FA4">
        <w:rPr>
          <w:rFonts w:ascii="Ebrima" w:eastAsia="Times New Roman" w:hAnsi="Ebrima" w:cs="Times New Roman"/>
          <w:b/>
          <w:bCs/>
          <w:sz w:val="24"/>
          <w:szCs w:val="24"/>
          <w:lang w:val="hr-HR"/>
        </w:rPr>
        <w:t>P</w:t>
      </w:r>
      <w:r w:rsidR="00246B56" w:rsidRPr="00314FA4">
        <w:rPr>
          <w:rFonts w:ascii="Ebrima" w:eastAsia="Times New Roman" w:hAnsi="Ebrima" w:cs="Times New Roman"/>
          <w:b/>
          <w:bCs/>
          <w:sz w:val="24"/>
          <w:szCs w:val="24"/>
          <w:lang w:val="hr-HR"/>
        </w:rPr>
        <w:t>OTREBNO U KONTINUITETU PODUZIMATI</w:t>
      </w:r>
    </w:p>
    <w:p w:rsidR="00B87940" w:rsidRPr="00314FA4" w:rsidRDefault="00B87940" w:rsidP="00246B56">
      <w:pPr>
        <w:tabs>
          <w:tab w:val="left" w:pos="1515"/>
        </w:tabs>
        <w:spacing w:after="0" w:line="240" w:lineRule="auto"/>
        <w:jc w:val="center"/>
        <w:rPr>
          <w:rFonts w:ascii="Ebrima" w:eastAsia="Times New Roman" w:hAnsi="Ebrima" w:cs="Times New Roman"/>
          <w:b/>
          <w:bCs/>
          <w:sz w:val="24"/>
          <w:szCs w:val="24"/>
          <w:lang w:val="hr-HR"/>
        </w:rPr>
      </w:pPr>
    </w:p>
    <w:p w:rsidR="00B87940" w:rsidRPr="00314FA4" w:rsidRDefault="00B87940" w:rsidP="00B87940">
      <w:pPr>
        <w:jc w:val="both"/>
        <w:rPr>
          <w:rFonts w:ascii="Ebrima" w:hAnsi="Ebrima" w:cs="Calibri"/>
          <w:sz w:val="24"/>
          <w:szCs w:val="24"/>
          <w:lang w:val="hr-HR"/>
        </w:rPr>
      </w:pPr>
      <w:r w:rsidRPr="00314FA4">
        <w:rPr>
          <w:rFonts w:ascii="Ebrima" w:hAnsi="Ebrima" w:cs="Calibri"/>
          <w:sz w:val="24"/>
          <w:szCs w:val="24"/>
          <w:lang w:val="hr-HR"/>
        </w:rPr>
        <w:t>Srednjoročno planiranje period</w:t>
      </w:r>
      <w:r w:rsidR="00D13B0C" w:rsidRPr="00314FA4">
        <w:rPr>
          <w:rFonts w:ascii="Ebrima" w:hAnsi="Ebrima" w:cs="Calibri"/>
          <w:sz w:val="24"/>
          <w:szCs w:val="24"/>
          <w:lang w:val="hr-HR"/>
        </w:rPr>
        <w:t>a</w:t>
      </w:r>
      <w:r w:rsidRPr="00314FA4">
        <w:rPr>
          <w:rFonts w:ascii="Ebrima" w:hAnsi="Ebrima" w:cs="Calibri"/>
          <w:sz w:val="24"/>
          <w:szCs w:val="24"/>
          <w:lang w:val="hr-HR"/>
        </w:rPr>
        <w:t xml:space="preserve"> </w:t>
      </w:r>
      <w:r w:rsidR="00D57A6D" w:rsidRPr="00314FA4">
        <w:rPr>
          <w:rFonts w:ascii="Ebrima" w:hAnsi="Ebrima" w:cs="Calibri"/>
          <w:sz w:val="24"/>
          <w:szCs w:val="24"/>
          <w:lang w:val="hr-HR"/>
        </w:rPr>
        <w:t>2024.-2026</w:t>
      </w:r>
      <w:r w:rsidRPr="00314FA4">
        <w:rPr>
          <w:rFonts w:ascii="Ebrima" w:hAnsi="Ebrima" w:cs="Calibri"/>
          <w:sz w:val="24"/>
          <w:szCs w:val="24"/>
          <w:lang w:val="hr-HR"/>
        </w:rPr>
        <w:t xml:space="preserve">. godina u najvećoj mjeri je pod uticajem trenutne situacije u momentu izrade ovih Smjernica, </w:t>
      </w:r>
      <w:r w:rsidR="0079031A" w:rsidRPr="00314FA4">
        <w:rPr>
          <w:rFonts w:ascii="Ebrima" w:hAnsi="Ebrima" w:cs="Calibri"/>
          <w:sz w:val="24"/>
          <w:szCs w:val="24"/>
          <w:lang w:val="hr-HR"/>
        </w:rPr>
        <w:t>prethodnom</w:t>
      </w:r>
      <w:r w:rsidR="00A33983" w:rsidRPr="00314FA4">
        <w:rPr>
          <w:rFonts w:ascii="Ebrima" w:hAnsi="Ebrima" w:cs="Calibri"/>
          <w:sz w:val="24"/>
          <w:szCs w:val="24"/>
          <w:lang w:val="hr-HR"/>
        </w:rPr>
        <w:t xml:space="preserve"> pandemijom virusa </w:t>
      </w:r>
      <w:r w:rsidR="000847D9" w:rsidRPr="00314FA4">
        <w:rPr>
          <w:rFonts w:ascii="Ebrima" w:hAnsi="Ebrima" w:cs="Calibri"/>
          <w:sz w:val="24"/>
          <w:szCs w:val="24"/>
          <w:lang w:val="hr-HR"/>
        </w:rPr>
        <w:t>kao i ratnim dešavanjima u svijetu</w:t>
      </w:r>
      <w:r w:rsidRPr="00314FA4">
        <w:rPr>
          <w:rFonts w:ascii="Ebrima" w:hAnsi="Ebrima" w:cs="Calibri"/>
          <w:sz w:val="24"/>
          <w:szCs w:val="24"/>
          <w:lang w:val="hr-HR"/>
        </w:rPr>
        <w:t xml:space="preserve">, koja je dovela do </w:t>
      </w:r>
      <w:r w:rsidR="0079031A" w:rsidRPr="00314FA4">
        <w:rPr>
          <w:rFonts w:ascii="Ebrima" w:hAnsi="Ebrima" w:cs="Calibri"/>
          <w:sz w:val="24"/>
          <w:szCs w:val="24"/>
          <w:lang w:val="hr-HR"/>
        </w:rPr>
        <w:t xml:space="preserve">ekonomske destabilizacije, značajnim </w:t>
      </w:r>
      <w:r w:rsidR="000847D9" w:rsidRPr="00314FA4">
        <w:rPr>
          <w:rFonts w:ascii="Ebrima" w:hAnsi="Ebrima" w:cs="Calibri"/>
          <w:sz w:val="24"/>
          <w:szCs w:val="24"/>
          <w:lang w:val="hr-HR"/>
        </w:rPr>
        <w:t xml:space="preserve">nestašicama i poskupljenjima. </w:t>
      </w:r>
    </w:p>
    <w:p w:rsidR="00B87940" w:rsidRPr="00314FA4" w:rsidRDefault="00B87940" w:rsidP="00B87940">
      <w:pPr>
        <w:jc w:val="both"/>
        <w:rPr>
          <w:rFonts w:ascii="Ebrima" w:hAnsi="Ebrima" w:cs="Calibri"/>
          <w:sz w:val="24"/>
          <w:szCs w:val="24"/>
          <w:lang w:val="hr-HR"/>
        </w:rPr>
      </w:pPr>
      <w:r w:rsidRPr="00314FA4">
        <w:rPr>
          <w:rFonts w:ascii="Ebrima" w:hAnsi="Ebrima" w:cs="Calibri"/>
          <w:sz w:val="24"/>
          <w:szCs w:val="24"/>
          <w:lang w:val="hr-HR"/>
        </w:rPr>
        <w:t xml:space="preserve">Obzirom na krajnju nepredvidivost trajanja </w:t>
      </w:r>
      <w:r w:rsidR="000847D9" w:rsidRPr="00314FA4">
        <w:rPr>
          <w:rFonts w:ascii="Ebrima" w:hAnsi="Ebrima" w:cs="Calibri"/>
          <w:sz w:val="24"/>
          <w:szCs w:val="24"/>
          <w:lang w:val="hr-HR"/>
        </w:rPr>
        <w:t xml:space="preserve">ekonomske nestabilnosti </w:t>
      </w:r>
      <w:r w:rsidRPr="00314FA4">
        <w:rPr>
          <w:rFonts w:ascii="Ebrima" w:hAnsi="Ebrima" w:cs="Calibri"/>
          <w:sz w:val="24"/>
          <w:szCs w:val="24"/>
          <w:lang w:val="hr-HR"/>
        </w:rPr>
        <w:t>ističemo pored redovnih rizika i na visok rizik  ostvarenja procjenjenih prihoda i krajnjih ishoda makroekonomskih pretpostavki. Globalni problem koji je zadesio sve zemlje i nije zaobišao niti jednu ekonomiju svijeta, dodatno usporavanje ili oporavak tokova u Bosni i Hercegovini velikim</w:t>
      </w:r>
      <w:r w:rsidR="0079031A" w:rsidRPr="00314FA4">
        <w:rPr>
          <w:rFonts w:ascii="Ebrima" w:hAnsi="Ebrima" w:cs="Calibri"/>
          <w:sz w:val="24"/>
          <w:szCs w:val="24"/>
          <w:lang w:val="hr-HR"/>
        </w:rPr>
        <w:t xml:space="preserve"> dijelom će biti uvijetovani </w:t>
      </w:r>
      <w:r w:rsidRPr="00314FA4">
        <w:rPr>
          <w:rFonts w:ascii="Ebrima" w:hAnsi="Ebrima" w:cs="Calibri"/>
          <w:sz w:val="24"/>
          <w:szCs w:val="24"/>
          <w:lang w:val="hr-HR"/>
        </w:rPr>
        <w:t>dešavanjima i odlukama na globalnom nivou, posebno kada je rijeć o zemljama najvećim ekonomskim partner</w:t>
      </w:r>
      <w:r w:rsidR="0079031A" w:rsidRPr="00314FA4">
        <w:rPr>
          <w:rFonts w:ascii="Ebrima" w:hAnsi="Ebrima" w:cs="Calibri"/>
          <w:sz w:val="24"/>
          <w:szCs w:val="24"/>
          <w:lang w:val="hr-HR"/>
        </w:rPr>
        <w:t>ima Bosne i Hercegovine. Takođe,</w:t>
      </w:r>
      <w:r w:rsidRPr="00314FA4">
        <w:rPr>
          <w:rFonts w:ascii="Ebrima" w:hAnsi="Ebrima" w:cs="Calibri"/>
          <w:sz w:val="24"/>
          <w:szCs w:val="24"/>
          <w:lang w:val="hr-HR"/>
        </w:rPr>
        <w:t xml:space="preserve"> prateći</w:t>
      </w:r>
      <w:r w:rsidR="00A4613E" w:rsidRPr="00314FA4">
        <w:rPr>
          <w:rFonts w:ascii="Ebrima" w:hAnsi="Ebrima" w:cs="Calibri"/>
          <w:sz w:val="24"/>
          <w:szCs w:val="24"/>
          <w:lang w:val="hr-HR"/>
        </w:rPr>
        <w:t xml:space="preserve"> situaciju, na domaćem prostoru</w:t>
      </w:r>
      <w:r w:rsidRPr="00314FA4">
        <w:rPr>
          <w:rFonts w:ascii="Ebrima" w:hAnsi="Ebrima" w:cs="Calibri"/>
          <w:sz w:val="24"/>
          <w:szCs w:val="24"/>
          <w:lang w:val="hr-HR"/>
        </w:rPr>
        <w:t xml:space="preserve"> moguće je u fazama donošenje novih mjera unutar fi</w:t>
      </w:r>
      <w:r w:rsidR="0079031A" w:rsidRPr="00314FA4">
        <w:rPr>
          <w:rFonts w:ascii="Ebrima" w:hAnsi="Ebrima" w:cs="Calibri"/>
          <w:sz w:val="24"/>
          <w:szCs w:val="24"/>
          <w:lang w:val="hr-HR"/>
        </w:rPr>
        <w:t>skalne politike</w:t>
      </w:r>
      <w:r w:rsidRPr="00314FA4">
        <w:rPr>
          <w:rFonts w:ascii="Ebrima" w:hAnsi="Ebrima" w:cs="Calibri"/>
          <w:sz w:val="24"/>
          <w:szCs w:val="24"/>
          <w:lang w:val="hr-HR"/>
        </w:rPr>
        <w:t xml:space="preserve">, u skladu sa razvojem situacije, koje mogu dovesti do drugačijih ishoda od trenutno pretpostavljenih. </w:t>
      </w:r>
    </w:p>
    <w:p w:rsidR="00321FF5" w:rsidRPr="00314FA4" w:rsidRDefault="00C11D36" w:rsidP="00321FF5">
      <w:pPr>
        <w:autoSpaceDE w:val="0"/>
        <w:autoSpaceDN w:val="0"/>
        <w:adjustRightInd w:val="0"/>
        <w:spacing w:line="240" w:lineRule="auto"/>
        <w:ind w:firstLine="720"/>
        <w:jc w:val="both"/>
        <w:rPr>
          <w:rFonts w:ascii="Ebrima" w:hAnsi="Ebrima" w:cs="Arial"/>
          <w:sz w:val="24"/>
          <w:szCs w:val="24"/>
          <w:lang w:val="bs-Latn-BA"/>
        </w:rPr>
      </w:pPr>
      <w:r w:rsidRPr="00314FA4">
        <w:rPr>
          <w:rFonts w:ascii="Ebrima" w:hAnsi="Ebrima" w:cs="Arial"/>
          <w:sz w:val="24"/>
          <w:szCs w:val="24"/>
          <w:lang w:val="bs-Latn-BA"/>
        </w:rPr>
        <w:t>Uz pretpostavku da će</w:t>
      </w:r>
      <w:r w:rsidR="004271C8" w:rsidRPr="00314FA4">
        <w:rPr>
          <w:rFonts w:ascii="Ebrima" w:hAnsi="Ebrima" w:cs="Arial"/>
          <w:sz w:val="24"/>
          <w:szCs w:val="24"/>
          <w:lang w:val="bs-Latn-BA"/>
        </w:rPr>
        <w:t xml:space="preserve"> u 2024</w:t>
      </w:r>
      <w:r w:rsidR="00321FF5" w:rsidRPr="00314FA4">
        <w:rPr>
          <w:rFonts w:ascii="Ebrima" w:hAnsi="Ebrima" w:cs="Arial"/>
          <w:sz w:val="24"/>
          <w:szCs w:val="24"/>
          <w:lang w:val="bs-Latn-BA"/>
        </w:rPr>
        <w:t xml:space="preserve">. godini </w:t>
      </w:r>
      <w:r w:rsidRPr="00314FA4">
        <w:rPr>
          <w:rFonts w:ascii="Ebrima" w:hAnsi="Ebrima" w:cs="Arial"/>
          <w:sz w:val="24"/>
          <w:szCs w:val="24"/>
          <w:lang w:val="bs-Latn-BA"/>
        </w:rPr>
        <w:t xml:space="preserve">doći do </w:t>
      </w:r>
      <w:r w:rsidR="00321FF5" w:rsidRPr="00314FA4">
        <w:rPr>
          <w:rFonts w:ascii="Ebrima" w:hAnsi="Ebrima" w:cs="Arial"/>
          <w:sz w:val="24"/>
          <w:szCs w:val="24"/>
          <w:lang w:val="bs-Latn-BA"/>
        </w:rPr>
        <w:t>okonča</w:t>
      </w:r>
      <w:r w:rsidRPr="00314FA4">
        <w:rPr>
          <w:rFonts w:ascii="Ebrima" w:hAnsi="Ebrima" w:cs="Arial"/>
          <w:sz w:val="24"/>
          <w:szCs w:val="24"/>
          <w:lang w:val="bs-Latn-BA"/>
        </w:rPr>
        <w:t xml:space="preserve">nja i u potpunosti stavljanja pod kontrolu </w:t>
      </w:r>
      <w:r w:rsidR="000847D9" w:rsidRPr="00314FA4">
        <w:rPr>
          <w:rFonts w:ascii="Ebrima" w:hAnsi="Ebrima" w:cs="Arial"/>
          <w:sz w:val="24"/>
          <w:szCs w:val="24"/>
          <w:lang w:val="bs-Latn-BA"/>
        </w:rPr>
        <w:t>uticaj na</w:t>
      </w:r>
      <w:r w:rsidR="00A239A9" w:rsidRPr="00314FA4">
        <w:rPr>
          <w:rFonts w:ascii="Ebrima" w:hAnsi="Ebrima" w:cs="Arial"/>
          <w:sz w:val="24"/>
          <w:szCs w:val="24"/>
          <w:lang w:val="bs-Latn-BA"/>
        </w:rPr>
        <w:t>glog rasta cijena i nestašice to</w:t>
      </w:r>
      <w:r w:rsidR="000847D9" w:rsidRPr="00314FA4">
        <w:rPr>
          <w:rFonts w:ascii="Ebrima" w:hAnsi="Ebrima" w:cs="Arial"/>
          <w:sz w:val="24"/>
          <w:szCs w:val="24"/>
          <w:lang w:val="bs-Latn-BA"/>
        </w:rPr>
        <w:t xml:space="preserve"> se očekuje da će vlade donositi određene mjere  </w:t>
      </w:r>
      <w:r w:rsidR="00321FF5" w:rsidRPr="00314FA4">
        <w:rPr>
          <w:rFonts w:ascii="Ebrima" w:hAnsi="Ebrima" w:cs="Arial"/>
          <w:sz w:val="24"/>
          <w:szCs w:val="24"/>
          <w:lang w:val="bs-Latn-BA"/>
        </w:rPr>
        <w:t>ekonomske i f</w:t>
      </w:r>
      <w:r w:rsidR="00B17C55" w:rsidRPr="00314FA4">
        <w:rPr>
          <w:rFonts w:ascii="Ebrima" w:hAnsi="Ebrima" w:cs="Arial"/>
          <w:sz w:val="24"/>
          <w:szCs w:val="24"/>
          <w:lang w:val="bs-Latn-BA"/>
        </w:rPr>
        <w:t>i</w:t>
      </w:r>
      <w:r w:rsidR="00A239A9" w:rsidRPr="00314FA4">
        <w:rPr>
          <w:rFonts w:ascii="Ebrima" w:hAnsi="Ebrima" w:cs="Arial"/>
          <w:sz w:val="24"/>
          <w:szCs w:val="24"/>
          <w:lang w:val="bs-Latn-BA"/>
        </w:rPr>
        <w:t>skalne politike, kao i određene mjere</w:t>
      </w:r>
      <w:r w:rsidR="00321FF5" w:rsidRPr="00314FA4">
        <w:rPr>
          <w:rFonts w:ascii="Ebrima" w:hAnsi="Ebrima" w:cs="Arial"/>
          <w:sz w:val="24"/>
          <w:szCs w:val="24"/>
          <w:lang w:val="bs-Latn-BA"/>
        </w:rPr>
        <w:t xml:space="preserve"> u cilju unapređenja rada institucija </w:t>
      </w:r>
      <w:r w:rsidR="00A239A9" w:rsidRPr="00314FA4">
        <w:rPr>
          <w:rFonts w:ascii="Ebrima" w:hAnsi="Ebrima" w:cs="Arial"/>
          <w:sz w:val="24"/>
          <w:szCs w:val="24"/>
          <w:lang w:val="bs-Latn-BA"/>
        </w:rPr>
        <w:t>kao i aktivnosti vezane za</w:t>
      </w:r>
      <w:r w:rsidR="00321FF5" w:rsidRPr="00314FA4">
        <w:rPr>
          <w:rFonts w:ascii="Ebrima" w:hAnsi="Ebrima" w:cs="Arial"/>
          <w:sz w:val="24"/>
          <w:szCs w:val="24"/>
          <w:lang w:val="bs-Latn-BA"/>
        </w:rPr>
        <w:t xml:space="preserve"> povećanje javnih prihoda. </w:t>
      </w:r>
    </w:p>
    <w:p w:rsidR="004A2CBA" w:rsidRPr="00314FA4" w:rsidRDefault="00321FF5" w:rsidP="004A2CBA">
      <w:pPr>
        <w:autoSpaceDE w:val="0"/>
        <w:autoSpaceDN w:val="0"/>
        <w:adjustRightInd w:val="0"/>
        <w:spacing w:line="240" w:lineRule="auto"/>
        <w:ind w:firstLine="720"/>
        <w:jc w:val="both"/>
        <w:rPr>
          <w:rFonts w:ascii="Ebrima" w:hAnsi="Ebrima" w:cs="Arial"/>
          <w:sz w:val="24"/>
          <w:szCs w:val="24"/>
          <w:lang w:val="bs-Latn-BA"/>
        </w:rPr>
      </w:pPr>
      <w:r w:rsidRPr="00314FA4">
        <w:rPr>
          <w:rFonts w:ascii="Ebrima" w:hAnsi="Ebrima" w:cs="Arial"/>
          <w:sz w:val="24"/>
          <w:szCs w:val="24"/>
          <w:lang w:val="bs-Latn-BA"/>
        </w:rPr>
        <w:t>Vlada Kantona kao i svi budžetski korisnici obavezni s</w:t>
      </w:r>
      <w:r w:rsidR="000847D9" w:rsidRPr="00314FA4">
        <w:rPr>
          <w:rFonts w:ascii="Ebrima" w:hAnsi="Ebrima" w:cs="Arial"/>
          <w:sz w:val="24"/>
          <w:szCs w:val="24"/>
          <w:lang w:val="bs-Latn-BA"/>
        </w:rPr>
        <w:t>u poduzeimati</w:t>
      </w:r>
      <w:r w:rsidRPr="00314FA4">
        <w:rPr>
          <w:rFonts w:ascii="Ebrima" w:hAnsi="Ebrima" w:cs="Arial"/>
          <w:sz w:val="24"/>
          <w:szCs w:val="24"/>
          <w:lang w:val="bs-Latn-BA"/>
        </w:rPr>
        <w:t xml:space="preserve"> čitav niz mjera kako bi se postigla finansijska stabilnost, te kako bi se unaprijedio rad institucija što će sve za poslijedicu imati poboljšanje uslova za život i poslovanje na području Bosan</w:t>
      </w:r>
      <w:r w:rsidR="004A2CBA" w:rsidRPr="00314FA4">
        <w:rPr>
          <w:rFonts w:ascii="Ebrima" w:hAnsi="Ebrima" w:cs="Arial"/>
          <w:sz w:val="24"/>
          <w:szCs w:val="24"/>
          <w:lang w:val="bs-Latn-BA"/>
        </w:rPr>
        <w:t>sko-</w:t>
      </w:r>
      <w:r w:rsidR="004A2CBA" w:rsidRPr="00314FA4">
        <w:rPr>
          <w:rFonts w:ascii="Ebrima" w:hAnsi="Ebrima" w:cs="Arial"/>
          <w:sz w:val="24"/>
          <w:szCs w:val="24"/>
          <w:lang w:val="bs-Latn-BA"/>
        </w:rPr>
        <w:lastRenderedPageBreak/>
        <w:t>podrinjskog kantona Goražde, a t</w:t>
      </w:r>
      <w:r w:rsidRPr="00314FA4">
        <w:rPr>
          <w:rFonts w:ascii="Ebrima" w:hAnsi="Ebrima" w:cs="Arial"/>
          <w:sz w:val="24"/>
          <w:szCs w:val="24"/>
          <w:lang w:val="bs-Latn-BA"/>
        </w:rPr>
        <w:t xml:space="preserve">e mjere će biti poduzete kako na prihodovnoj tako i na rashodovnoj strani Budžeta </w:t>
      </w:r>
      <w:r w:rsidR="004A2CBA" w:rsidRPr="00314FA4">
        <w:rPr>
          <w:rFonts w:ascii="Ebrima" w:hAnsi="Ebrima" w:cs="Arial"/>
          <w:sz w:val="24"/>
          <w:szCs w:val="24"/>
          <w:lang w:val="bs-Latn-BA"/>
        </w:rPr>
        <w:t>i</w:t>
      </w:r>
      <w:r w:rsidRPr="00314FA4">
        <w:rPr>
          <w:rFonts w:ascii="Ebrima" w:hAnsi="Ebrima" w:cs="Arial"/>
          <w:sz w:val="24"/>
          <w:szCs w:val="24"/>
          <w:lang w:val="bs-Latn-BA"/>
        </w:rPr>
        <w:t xml:space="preserve"> iste uključuju</w:t>
      </w:r>
      <w:r w:rsidR="00EA2A06" w:rsidRPr="00314FA4">
        <w:rPr>
          <w:rStyle w:val="FootnoteReference"/>
          <w:rFonts w:ascii="Ebrima" w:hAnsi="Ebrima" w:cs="Arial"/>
          <w:sz w:val="24"/>
          <w:szCs w:val="24"/>
          <w:lang w:val="bs-Latn-BA"/>
        </w:rPr>
        <w:footnoteReference w:id="12"/>
      </w:r>
      <w:r w:rsidRPr="00314FA4">
        <w:rPr>
          <w:rFonts w:ascii="Ebrima" w:hAnsi="Ebrima" w:cs="Arial"/>
          <w:sz w:val="24"/>
          <w:szCs w:val="24"/>
          <w:lang w:val="bs-Latn-BA"/>
        </w:rPr>
        <w:t>:</w:t>
      </w:r>
    </w:p>
    <w:p w:rsidR="00C34A2F" w:rsidRPr="00314FA4" w:rsidRDefault="00C34A2F" w:rsidP="004A2CBA">
      <w:pPr>
        <w:autoSpaceDE w:val="0"/>
        <w:autoSpaceDN w:val="0"/>
        <w:adjustRightInd w:val="0"/>
        <w:spacing w:line="240" w:lineRule="auto"/>
        <w:ind w:firstLine="720"/>
        <w:jc w:val="both"/>
        <w:rPr>
          <w:rFonts w:ascii="Ebrima" w:hAnsi="Ebrima"/>
        </w:rPr>
      </w:pPr>
      <w:r w:rsidRPr="00314FA4">
        <w:rPr>
          <w:rFonts w:ascii="Ebrima" w:hAnsi="Ebrima"/>
        </w:rPr>
        <w:t>Poduzmanje svih potrebnih mjera i aktivnosti kako bi se prilikom izrade novog Zakona o pripadnosti javnih prihoda u Federaciji Bosne i Hercegovine prihvatili prijedlozi Ministarstva za finansije Bosansko-podrinjskog kantona Goražde, te argumentacija iz analitičkih dokumenata koje je pripremilo to Ministarstvo, a sve kako bi se Bosansko-podrinjski kanton Goražde pozicionirao na adekvatan način.</w:t>
      </w:r>
    </w:p>
    <w:p w:rsidR="00C34A2F" w:rsidRPr="00314FA4" w:rsidRDefault="00C34A2F" w:rsidP="00C34A2F">
      <w:pPr>
        <w:pStyle w:val="NormalWeb"/>
        <w:numPr>
          <w:ilvl w:val="0"/>
          <w:numId w:val="5"/>
        </w:numPr>
        <w:jc w:val="both"/>
        <w:rPr>
          <w:rFonts w:ascii="Ebrima" w:hAnsi="Ebrima"/>
        </w:rPr>
      </w:pPr>
      <w:r w:rsidRPr="00314FA4">
        <w:rPr>
          <w:rFonts w:ascii="Ebrima" w:hAnsi="Ebrima"/>
        </w:rPr>
        <w:t>Aktivnije učešće svih struktura vlasti u Bosansko-podrinjskom kantonu Goražde u zajedničkom lobiranju na nivou Federacije BiH kako bi se u cilju fiskalnog izravnjanja Bosansko-podrinjskom kantonu Goražde u vidu transfera-grant doznačila potrebna sredstva, odnosno kako bi se radi uravnoteženja novčanog toka</w:t>
      </w:r>
      <w:r w:rsidR="00D57A6D" w:rsidRPr="00314FA4">
        <w:rPr>
          <w:rFonts w:ascii="Ebrima" w:hAnsi="Ebrima"/>
        </w:rPr>
        <w:t xml:space="preserve"> jedan dio tih sredstava za 2023</w:t>
      </w:r>
      <w:r w:rsidRPr="00314FA4">
        <w:rPr>
          <w:rFonts w:ascii="Ebrima" w:hAnsi="Ebrima"/>
        </w:rPr>
        <w:t>. godinu sa Federalnog nivoa vlasti ranije doznačio Bosansko-podrinjskom Kantonu.</w:t>
      </w:r>
    </w:p>
    <w:p w:rsidR="00C34A2F" w:rsidRPr="00314FA4" w:rsidRDefault="00C34A2F" w:rsidP="00C34A2F">
      <w:pPr>
        <w:pStyle w:val="NormalWeb"/>
        <w:numPr>
          <w:ilvl w:val="0"/>
          <w:numId w:val="5"/>
        </w:numPr>
        <w:jc w:val="both"/>
        <w:rPr>
          <w:rFonts w:ascii="Ebrima" w:hAnsi="Ebrima"/>
        </w:rPr>
      </w:pPr>
      <w:r w:rsidRPr="00314FA4">
        <w:rPr>
          <w:rFonts w:ascii="Ebrima" w:hAnsi="Ebrima"/>
        </w:rPr>
        <w:t>Poduzimanje odgovarajućih aktivnosti u cilju povećanja prihoda od poreza na imovinu i sprječavanje evazije istih. Saradnja i koordinacija između Kantona, opština u sastavu Kantona i Poreske uprave Federacije BiH se mora značajno unaprijediti.</w:t>
      </w:r>
    </w:p>
    <w:p w:rsidR="00C34A2F" w:rsidRPr="00314FA4" w:rsidRDefault="00C34A2F" w:rsidP="00C34A2F">
      <w:pPr>
        <w:pStyle w:val="NormalWeb"/>
        <w:numPr>
          <w:ilvl w:val="0"/>
          <w:numId w:val="5"/>
        </w:numPr>
        <w:jc w:val="both"/>
        <w:rPr>
          <w:rFonts w:ascii="Ebrima" w:hAnsi="Ebrima"/>
        </w:rPr>
      </w:pPr>
      <w:r w:rsidRPr="00314FA4">
        <w:rPr>
          <w:rFonts w:ascii="Ebrima" w:hAnsi="Ebrima"/>
        </w:rPr>
        <w:t>Jasno definisanje prioriteta prilikom dodjele podsticaja za privredne aktivnosti sa posebnim akcentom na dodjelu istih prevashodno subjektima koji su registrovani za obavljanje privrednih djelatnosti, a koji će uposliti nove radnike što će dovesti do povećanja broja zaposlenih, a time i povećanja uplate poreza i doprinosa</w:t>
      </w:r>
    </w:p>
    <w:p w:rsidR="00C34A2F" w:rsidRPr="00314FA4" w:rsidRDefault="00C34A2F" w:rsidP="00C34A2F">
      <w:pPr>
        <w:pStyle w:val="NormalWeb"/>
        <w:numPr>
          <w:ilvl w:val="0"/>
          <w:numId w:val="5"/>
        </w:numPr>
        <w:jc w:val="both"/>
        <w:rPr>
          <w:rFonts w:ascii="Ebrima" w:hAnsi="Ebrima"/>
        </w:rPr>
      </w:pPr>
      <w:r w:rsidRPr="00314FA4">
        <w:rPr>
          <w:rFonts w:ascii="Ebrima" w:hAnsi="Ebrima"/>
        </w:rPr>
        <w:t>Provođenje postupka javnih nabavki u skladu sa Zakonom o javnim nabavkama Bosne i Hercegovine, odnosno na način da se postigne povoljnija cijena i na taj način ostvare uštede u Budžetu Kantona</w:t>
      </w:r>
    </w:p>
    <w:p w:rsidR="00C34A2F" w:rsidRPr="00314FA4" w:rsidRDefault="00C34A2F" w:rsidP="00C34A2F">
      <w:pPr>
        <w:pStyle w:val="NormalWeb"/>
        <w:numPr>
          <w:ilvl w:val="0"/>
          <w:numId w:val="5"/>
        </w:numPr>
        <w:jc w:val="both"/>
        <w:rPr>
          <w:rFonts w:ascii="Ebrima" w:hAnsi="Ebrima"/>
        </w:rPr>
      </w:pPr>
      <w:r w:rsidRPr="00314FA4">
        <w:rPr>
          <w:rFonts w:ascii="Ebrima" w:hAnsi="Ebrima"/>
        </w:rPr>
        <w:t>Uvođenjem bolje kontrole potrošnje materijala i sitnog inventara, te odgovornije upravljati svim materijalnim troškovima, te u tom cilju započeti i projekat informatizacije rada organa uprave u Kantonu.</w:t>
      </w:r>
    </w:p>
    <w:p w:rsidR="00C34A2F" w:rsidRPr="00314FA4" w:rsidRDefault="00C34A2F" w:rsidP="00C34A2F">
      <w:pPr>
        <w:pStyle w:val="NormalWeb"/>
        <w:numPr>
          <w:ilvl w:val="0"/>
          <w:numId w:val="5"/>
        </w:numPr>
        <w:jc w:val="both"/>
        <w:rPr>
          <w:rFonts w:ascii="Ebrima" w:hAnsi="Ebrima"/>
        </w:rPr>
      </w:pPr>
      <w:r w:rsidRPr="00314FA4">
        <w:rPr>
          <w:rFonts w:ascii="Ebrima" w:hAnsi="Ebrima"/>
        </w:rPr>
        <w:t>Boljom kontrolom stvarnog korištenja usluga prevoza učenika od strane škola, te prevoza boračkih populacija moguće je napraviti uštede na troškovima prevoza.</w:t>
      </w:r>
    </w:p>
    <w:p w:rsidR="00C34A2F" w:rsidRPr="00314FA4" w:rsidRDefault="004A2CBA" w:rsidP="00C34A2F">
      <w:pPr>
        <w:pStyle w:val="NormalWeb"/>
        <w:numPr>
          <w:ilvl w:val="0"/>
          <w:numId w:val="5"/>
        </w:numPr>
        <w:jc w:val="both"/>
        <w:rPr>
          <w:rFonts w:ascii="Ebrima" w:hAnsi="Ebrima"/>
        </w:rPr>
      </w:pPr>
      <w:r w:rsidRPr="00314FA4">
        <w:rPr>
          <w:rFonts w:ascii="Ebrima" w:hAnsi="Ebrima"/>
        </w:rPr>
        <w:t>Intenzivnijom</w:t>
      </w:r>
      <w:r w:rsidR="00C34A2F" w:rsidRPr="00314FA4">
        <w:rPr>
          <w:rFonts w:ascii="Ebrima" w:hAnsi="Ebrima"/>
        </w:rPr>
        <w:t xml:space="preserve"> kontrolom provođenja postupka uvođenja korisnika u pravo po osnovu socijalne zaštite, revizijom i vršenjem inspekcijskog nadzora postojećih rješenja, odnosno socijalnih davanja moguće je spriječiti uvođenje, te izvesti iz prava one koji već ostvaruju primanja po ovom osnovu, a kojima ova davanja nisu neophodna i koji nisu i ne trebaju biti uvedeni u pravo na određeni oblik socijalne zaštite.</w:t>
      </w:r>
    </w:p>
    <w:p w:rsidR="00C34A2F" w:rsidRPr="00314FA4" w:rsidRDefault="004A2CBA" w:rsidP="00C34A2F">
      <w:pPr>
        <w:pStyle w:val="NormalWeb"/>
        <w:numPr>
          <w:ilvl w:val="0"/>
          <w:numId w:val="5"/>
        </w:numPr>
        <w:jc w:val="both"/>
        <w:rPr>
          <w:rFonts w:ascii="Ebrima" w:hAnsi="Ebrima"/>
        </w:rPr>
      </w:pPr>
      <w:r w:rsidRPr="00314FA4">
        <w:rPr>
          <w:rFonts w:ascii="Ebrima" w:hAnsi="Ebrima"/>
        </w:rPr>
        <w:lastRenderedPageBreak/>
        <w:t>Izražajnijom</w:t>
      </w:r>
      <w:r w:rsidR="00C34A2F" w:rsidRPr="00314FA4">
        <w:rPr>
          <w:rFonts w:ascii="Ebrima" w:hAnsi="Ebrima"/>
        </w:rPr>
        <w:t xml:space="preserve"> provjerom ispunjavanja uslova po postojećim rješenjima za ostvarivanje dodataka na platu, te naknada koje nemaju karakter plate, a posebno naknade za prevoz na i sa posla moguće je ostvariti dodatne uštede.</w:t>
      </w:r>
    </w:p>
    <w:p w:rsidR="00C34A2F" w:rsidRPr="00314FA4" w:rsidRDefault="004A2CBA" w:rsidP="00C34A2F">
      <w:pPr>
        <w:pStyle w:val="NormalWeb"/>
        <w:numPr>
          <w:ilvl w:val="0"/>
          <w:numId w:val="5"/>
        </w:numPr>
        <w:jc w:val="both"/>
        <w:rPr>
          <w:rFonts w:ascii="Ebrima" w:hAnsi="Ebrima"/>
        </w:rPr>
      </w:pPr>
      <w:r w:rsidRPr="00314FA4">
        <w:rPr>
          <w:rFonts w:ascii="Ebrima" w:hAnsi="Ebrima"/>
        </w:rPr>
        <w:t>K</w:t>
      </w:r>
      <w:r w:rsidR="00C34A2F" w:rsidRPr="00314FA4">
        <w:rPr>
          <w:rFonts w:ascii="Ebrima" w:hAnsi="Ebrima"/>
        </w:rPr>
        <w:t>ontrolom provođenja postupka, kao i same dodjele sredstava na ime tekućih transfera privrednim subjektima, neprofitnim organizacijama i pojedincima, te utvrđivanjem obaveze javnog i transparentnog provođenja postupka dodjele navedenih sredstava</w:t>
      </w:r>
    </w:p>
    <w:p w:rsidR="00C34A2F" w:rsidRPr="00314FA4" w:rsidRDefault="00C34A2F" w:rsidP="00C34A2F">
      <w:pPr>
        <w:pStyle w:val="NormalWeb"/>
        <w:numPr>
          <w:ilvl w:val="0"/>
          <w:numId w:val="5"/>
        </w:numPr>
        <w:jc w:val="both"/>
        <w:rPr>
          <w:rFonts w:ascii="Ebrima" w:hAnsi="Ebrima"/>
        </w:rPr>
      </w:pPr>
      <w:r w:rsidRPr="00314FA4">
        <w:rPr>
          <w:rFonts w:ascii="Ebrima" w:hAnsi="Ebrima"/>
        </w:rPr>
        <w:t>Intenziviranjem aktivnosti na naplati potraživanja, te poduzimanje zakonom predviđenih mjera u slučaju neispunjavanja ugovorenih obaveza.</w:t>
      </w:r>
    </w:p>
    <w:p w:rsidR="00C34A2F" w:rsidRPr="00314FA4" w:rsidRDefault="00C34A2F" w:rsidP="00C34A2F">
      <w:pPr>
        <w:pStyle w:val="NormalWeb"/>
        <w:numPr>
          <w:ilvl w:val="0"/>
          <w:numId w:val="5"/>
        </w:numPr>
        <w:jc w:val="both"/>
        <w:rPr>
          <w:rFonts w:ascii="Ebrima" w:hAnsi="Ebrima"/>
        </w:rPr>
      </w:pPr>
      <w:r w:rsidRPr="00314FA4">
        <w:rPr>
          <w:rFonts w:ascii="Ebrima" w:hAnsi="Ebrima"/>
        </w:rPr>
        <w:t>Smanjenje transfera prilikom kojih sredstva odlaze iz Kantona, to jest, transfera koji nemaju uticaja na povećanje potrošnje u Kantonu.</w:t>
      </w:r>
    </w:p>
    <w:p w:rsidR="00C34A2F" w:rsidRPr="00314FA4" w:rsidRDefault="00C34A2F" w:rsidP="00C34A2F">
      <w:pPr>
        <w:pStyle w:val="NormalWeb"/>
        <w:numPr>
          <w:ilvl w:val="0"/>
          <w:numId w:val="5"/>
        </w:numPr>
        <w:jc w:val="both"/>
        <w:rPr>
          <w:rFonts w:ascii="Ebrima" w:hAnsi="Ebrima"/>
        </w:rPr>
      </w:pPr>
      <w:r w:rsidRPr="00314FA4">
        <w:rPr>
          <w:rFonts w:ascii="Ebrima" w:hAnsi="Ebrima"/>
        </w:rPr>
        <w:t>Smanjenje tekućih transfera neprofitnim organizacijama za najmanje 20% iz razloga što ovi transferi nemaju efekta na povećanje zaposlenosti, te samim tim ni prihoda po osnovu poreza i doprinosa.</w:t>
      </w:r>
    </w:p>
    <w:p w:rsidR="00C34A2F" w:rsidRPr="00314FA4" w:rsidRDefault="00C34A2F" w:rsidP="00C34A2F">
      <w:pPr>
        <w:pStyle w:val="NormalWeb"/>
        <w:numPr>
          <w:ilvl w:val="0"/>
          <w:numId w:val="5"/>
        </w:numPr>
        <w:jc w:val="both"/>
        <w:rPr>
          <w:rFonts w:ascii="Ebrima" w:hAnsi="Ebrima"/>
        </w:rPr>
      </w:pPr>
      <w:r w:rsidRPr="00314FA4">
        <w:rPr>
          <w:rFonts w:ascii="Ebrima" w:hAnsi="Ebrima"/>
        </w:rPr>
        <w:t>Intenziviranjem aktivnosti oko evidentiranja i uknjižavanja cjelokupne imovine BPK Goražde na području BPK Goražde i u drugim državama.</w:t>
      </w:r>
    </w:p>
    <w:p w:rsidR="00C34A2F" w:rsidRPr="00314FA4" w:rsidRDefault="00C34A2F" w:rsidP="00C34A2F">
      <w:pPr>
        <w:pStyle w:val="NormalWeb"/>
        <w:numPr>
          <w:ilvl w:val="0"/>
          <w:numId w:val="5"/>
        </w:numPr>
        <w:jc w:val="both"/>
        <w:rPr>
          <w:rFonts w:ascii="Ebrima" w:hAnsi="Ebrima"/>
        </w:rPr>
      </w:pPr>
      <w:r w:rsidRPr="00314FA4">
        <w:rPr>
          <w:rFonts w:ascii="Ebrima" w:hAnsi="Ebrima"/>
        </w:rPr>
        <w:t>Kontrola upošljavanja kod budžetskih korisnika mora biti pojačana, te svako novo upošljavanje mora biti opravdano i dobro obrazloženo, te odobreno jedino u slučaju nemogućnosti popune tog radnog mjesta premještajem postojećih uposlenika. Osim toga potrebno je izvršiti provjere kod svih budžetskih korisnika u smislu da li određeni uposlenici ispunjavaju uslove za penzionisanje, te u tom slučaju iste bez odlaganja penzionisati.</w:t>
      </w:r>
    </w:p>
    <w:p w:rsidR="004A2CBA" w:rsidRPr="00314FA4" w:rsidRDefault="00C34A2F" w:rsidP="004A2CBA">
      <w:pPr>
        <w:pStyle w:val="NormalWeb"/>
        <w:numPr>
          <w:ilvl w:val="0"/>
          <w:numId w:val="5"/>
        </w:numPr>
        <w:spacing w:line="120" w:lineRule="atLeast"/>
        <w:jc w:val="both"/>
        <w:rPr>
          <w:rFonts w:ascii="Ebrima" w:hAnsi="Ebrima"/>
        </w:rPr>
      </w:pPr>
      <w:r w:rsidRPr="00314FA4">
        <w:rPr>
          <w:rFonts w:ascii="Ebrima" w:hAnsi="Ebrima"/>
        </w:rPr>
        <w:t>Preispitivanje rada komis</w:t>
      </w:r>
      <w:r w:rsidR="004A2CBA" w:rsidRPr="00314FA4">
        <w:rPr>
          <w:rFonts w:ascii="Ebrima" w:hAnsi="Ebrima"/>
        </w:rPr>
        <w:t>ija i naknada koje se isplaćuju.</w:t>
      </w:r>
    </w:p>
    <w:p w:rsidR="008C0668" w:rsidRPr="00314FA4" w:rsidRDefault="00321FF5" w:rsidP="004A2CBA">
      <w:pPr>
        <w:pStyle w:val="NormalWeb"/>
        <w:spacing w:line="120" w:lineRule="atLeast"/>
        <w:ind w:left="360"/>
        <w:jc w:val="both"/>
        <w:rPr>
          <w:rFonts w:ascii="Ebrima" w:hAnsi="Ebrima"/>
        </w:rPr>
      </w:pPr>
      <w:r w:rsidRPr="00314FA4">
        <w:rPr>
          <w:rFonts w:ascii="Ebrima" w:hAnsi="Ebrima" w:cs="Arial"/>
          <w:lang w:val="bs-Latn-BA"/>
        </w:rPr>
        <w:t>Navedene mjere ukoliko budu bez odlaganja provedene unaprijedit</w:t>
      </w:r>
      <w:r w:rsidR="00254880" w:rsidRPr="00314FA4">
        <w:rPr>
          <w:rFonts w:ascii="Ebrima" w:hAnsi="Ebrima" w:cs="Arial"/>
          <w:lang w:val="bs-Latn-BA"/>
        </w:rPr>
        <w:t xml:space="preserve"> </w:t>
      </w:r>
      <w:r w:rsidRPr="00314FA4">
        <w:rPr>
          <w:rFonts w:ascii="Ebrima" w:hAnsi="Ebrima" w:cs="Arial"/>
          <w:lang w:val="bs-Latn-BA"/>
        </w:rPr>
        <w:t>će rad institucija, odnosno budžetskih korisnika, te mogu u značajnoj mjeri pomoći u stvaranju pretpostavki za provođenje ciljeva i politike Kantona</w:t>
      </w:r>
      <w:r w:rsidR="000847D9" w:rsidRPr="00314FA4">
        <w:rPr>
          <w:rFonts w:ascii="Ebrima" w:hAnsi="Ebrima" w:cs="Arial"/>
          <w:lang w:val="bs-Latn-BA"/>
        </w:rPr>
        <w:t>.</w:t>
      </w:r>
      <w:r w:rsidR="00402F48" w:rsidRPr="00314FA4">
        <w:rPr>
          <w:lang w:val="en-GB"/>
        </w:rPr>
        <w:t xml:space="preserve">         </w:t>
      </w:r>
    </w:p>
    <w:p w:rsidR="00835DD7" w:rsidRPr="00314FA4" w:rsidRDefault="00835DD7" w:rsidP="004A2CBA">
      <w:pPr>
        <w:tabs>
          <w:tab w:val="left" w:pos="1515"/>
        </w:tabs>
        <w:spacing w:after="0" w:line="240" w:lineRule="auto"/>
        <w:jc w:val="both"/>
        <w:rPr>
          <w:rFonts w:ascii="Ebrima" w:eastAsia="Times New Roman" w:hAnsi="Ebrima" w:cs="Times New Roman"/>
          <w:bCs/>
          <w:sz w:val="24"/>
          <w:szCs w:val="24"/>
          <w:lang w:val="hr-HR"/>
        </w:rPr>
      </w:pPr>
    </w:p>
    <w:p w:rsidR="008C0668" w:rsidRPr="00314FA4" w:rsidRDefault="004A2CBA" w:rsidP="004A2CBA">
      <w:pPr>
        <w:tabs>
          <w:tab w:val="left" w:pos="1515"/>
        </w:tabs>
        <w:spacing w:after="0" w:line="240" w:lineRule="auto"/>
        <w:jc w:val="both"/>
        <w:rPr>
          <w:rFonts w:ascii="Ebrima" w:eastAsia="Times New Roman" w:hAnsi="Ebrima" w:cs="Times New Roman"/>
          <w:bCs/>
          <w:sz w:val="24"/>
          <w:szCs w:val="24"/>
          <w:lang w:val="hr-HR"/>
        </w:rPr>
      </w:pPr>
      <w:r w:rsidRPr="00314FA4">
        <w:rPr>
          <w:rFonts w:ascii="Ebrima" w:eastAsia="Times New Roman" w:hAnsi="Ebrima" w:cs="Times New Roman"/>
          <w:bCs/>
          <w:sz w:val="24"/>
          <w:szCs w:val="24"/>
          <w:lang w:val="hr-HR"/>
        </w:rPr>
        <w:t xml:space="preserve">Ministarstvo za finansije u skladu sa zakonskim propisima predlaže Vladi Bosansko-podrinjskog kantona Goražde </w:t>
      </w:r>
      <w:r w:rsidR="00EE733A" w:rsidRPr="00314FA4">
        <w:rPr>
          <w:rFonts w:ascii="Ebrima" w:eastAsia="Times New Roman" w:hAnsi="Ebrima" w:cs="Times New Roman"/>
          <w:bCs/>
          <w:sz w:val="24"/>
          <w:szCs w:val="24"/>
          <w:lang w:val="hr-HR"/>
        </w:rPr>
        <w:t>da donese Smjernice</w:t>
      </w:r>
      <w:r w:rsidRPr="00314FA4">
        <w:rPr>
          <w:rFonts w:ascii="Ebrima" w:eastAsia="Times New Roman" w:hAnsi="Ebrima" w:cs="Times New Roman"/>
          <w:bCs/>
          <w:sz w:val="24"/>
          <w:szCs w:val="24"/>
          <w:lang w:val="hr-HR"/>
        </w:rPr>
        <w:t xml:space="preserve"> ekonomske </w:t>
      </w:r>
      <w:r w:rsidR="00EE733A" w:rsidRPr="00314FA4">
        <w:rPr>
          <w:rFonts w:ascii="Ebrima" w:eastAsia="Times New Roman" w:hAnsi="Ebrima" w:cs="Times New Roman"/>
          <w:bCs/>
          <w:sz w:val="24"/>
          <w:szCs w:val="24"/>
          <w:lang w:val="hr-HR"/>
        </w:rPr>
        <w:t xml:space="preserve">i fiskalne </w:t>
      </w:r>
      <w:r w:rsidRPr="00314FA4">
        <w:rPr>
          <w:rFonts w:ascii="Ebrima" w:eastAsia="Times New Roman" w:hAnsi="Ebrima" w:cs="Times New Roman"/>
          <w:bCs/>
          <w:sz w:val="24"/>
          <w:szCs w:val="24"/>
          <w:lang w:val="hr-HR"/>
        </w:rPr>
        <w:t>politike  Bosansko-podrinsjkog kantona Goražde za period 2024.-2026. godina kao polazne osnove za izradu Dokumenta okvirnog budžeta Bosansko-podrinjskog kantona Goražde za period 2024.-2026. godina odnosno trogodišnjeg budžeta što predstavlja ujedno i polaznu osnovu za izradu Budžeta Bosansko-podrinjskog kantona Goražde za 2024. godinu.</w:t>
      </w:r>
    </w:p>
    <w:p w:rsidR="001C29DE" w:rsidRPr="00314FA4" w:rsidRDefault="001C29DE" w:rsidP="004A2CBA">
      <w:pPr>
        <w:tabs>
          <w:tab w:val="left" w:pos="1515"/>
        </w:tabs>
        <w:spacing w:after="0" w:line="240" w:lineRule="auto"/>
        <w:jc w:val="both"/>
        <w:rPr>
          <w:rFonts w:ascii="Ebrima" w:eastAsia="Times New Roman" w:hAnsi="Ebrima" w:cs="Times New Roman"/>
          <w:bCs/>
          <w:sz w:val="24"/>
          <w:szCs w:val="24"/>
          <w:lang w:val="hr-HR"/>
        </w:rPr>
      </w:pPr>
      <w:bookmarkStart w:id="3" w:name="_GoBack"/>
      <w:bookmarkEnd w:id="3"/>
    </w:p>
    <w:p w:rsidR="004A2CBA" w:rsidRPr="00314FA4" w:rsidRDefault="004A2CBA" w:rsidP="004A2CBA">
      <w:pPr>
        <w:tabs>
          <w:tab w:val="left" w:pos="1515"/>
        </w:tabs>
        <w:spacing w:after="0" w:line="240" w:lineRule="auto"/>
        <w:jc w:val="both"/>
        <w:rPr>
          <w:rFonts w:ascii="Ebrima" w:eastAsia="Times New Roman" w:hAnsi="Ebrima" w:cs="Times New Roman"/>
          <w:bCs/>
          <w:sz w:val="24"/>
          <w:szCs w:val="24"/>
          <w:lang w:val="hr-HR"/>
        </w:rPr>
      </w:pPr>
      <w:r w:rsidRPr="00314FA4">
        <w:rPr>
          <w:rFonts w:ascii="Ebrima" w:eastAsia="Times New Roman" w:hAnsi="Ebrima" w:cs="Times New Roman"/>
          <w:bCs/>
          <w:sz w:val="24"/>
          <w:szCs w:val="24"/>
          <w:lang w:val="hr-HR"/>
        </w:rPr>
        <w:t xml:space="preserve">Bosansko-podrinsjki kanton Goražde </w:t>
      </w:r>
      <w:r w:rsidRPr="00314FA4">
        <w:rPr>
          <w:rFonts w:ascii="Ebrima" w:eastAsia="Times New Roman" w:hAnsi="Ebrima" w:cs="Times New Roman"/>
          <w:bCs/>
          <w:sz w:val="24"/>
          <w:szCs w:val="24"/>
          <w:lang w:val="hr-HR"/>
        </w:rPr>
        <w:tab/>
      </w:r>
      <w:r w:rsidRPr="00314FA4">
        <w:rPr>
          <w:rFonts w:ascii="Ebrima" w:eastAsia="Times New Roman" w:hAnsi="Ebrima" w:cs="Times New Roman"/>
          <w:bCs/>
          <w:sz w:val="24"/>
          <w:szCs w:val="24"/>
          <w:lang w:val="hr-HR"/>
        </w:rPr>
        <w:tab/>
      </w:r>
      <w:r w:rsidRPr="00314FA4">
        <w:rPr>
          <w:rFonts w:ascii="Ebrima" w:eastAsia="Times New Roman" w:hAnsi="Ebrima" w:cs="Times New Roman"/>
          <w:bCs/>
          <w:sz w:val="24"/>
          <w:szCs w:val="24"/>
          <w:lang w:val="hr-HR"/>
        </w:rPr>
        <w:tab/>
        <w:t xml:space="preserve">    Ministar</w:t>
      </w:r>
    </w:p>
    <w:p w:rsidR="004A2CBA" w:rsidRPr="00314FA4" w:rsidRDefault="004A2CBA" w:rsidP="004A2CBA">
      <w:pPr>
        <w:tabs>
          <w:tab w:val="left" w:pos="1515"/>
        </w:tabs>
        <w:spacing w:after="0" w:line="240" w:lineRule="auto"/>
        <w:jc w:val="both"/>
        <w:rPr>
          <w:rFonts w:ascii="Ebrima" w:eastAsia="Times New Roman" w:hAnsi="Ebrima" w:cs="Times New Roman"/>
          <w:bCs/>
          <w:sz w:val="24"/>
          <w:szCs w:val="24"/>
          <w:lang w:val="hr-HR"/>
        </w:rPr>
      </w:pPr>
      <w:r w:rsidRPr="00314FA4">
        <w:rPr>
          <w:rFonts w:ascii="Ebrima" w:eastAsia="Times New Roman" w:hAnsi="Ebrima" w:cs="Times New Roman"/>
          <w:bCs/>
          <w:sz w:val="24"/>
          <w:szCs w:val="24"/>
          <w:lang w:val="hr-HR"/>
        </w:rPr>
        <w:t xml:space="preserve">Ministarstvo za finansije </w:t>
      </w:r>
      <w:r w:rsidRPr="00314FA4">
        <w:rPr>
          <w:rFonts w:ascii="Ebrima" w:eastAsia="Times New Roman" w:hAnsi="Ebrima" w:cs="Times New Roman"/>
          <w:bCs/>
          <w:sz w:val="24"/>
          <w:szCs w:val="24"/>
          <w:lang w:val="hr-HR"/>
        </w:rPr>
        <w:tab/>
      </w:r>
      <w:r w:rsidRPr="00314FA4">
        <w:rPr>
          <w:rFonts w:ascii="Ebrima" w:eastAsia="Times New Roman" w:hAnsi="Ebrima" w:cs="Times New Roman"/>
          <w:bCs/>
          <w:sz w:val="24"/>
          <w:szCs w:val="24"/>
          <w:lang w:val="hr-HR"/>
        </w:rPr>
        <w:tab/>
      </w:r>
      <w:r w:rsidRPr="00314FA4">
        <w:rPr>
          <w:rFonts w:ascii="Ebrima" w:eastAsia="Times New Roman" w:hAnsi="Ebrima" w:cs="Times New Roman"/>
          <w:bCs/>
          <w:sz w:val="24"/>
          <w:szCs w:val="24"/>
          <w:lang w:val="hr-HR"/>
        </w:rPr>
        <w:tab/>
      </w:r>
      <w:r w:rsidRPr="00314FA4">
        <w:rPr>
          <w:rFonts w:ascii="Ebrima" w:eastAsia="Times New Roman" w:hAnsi="Ebrima" w:cs="Times New Roman"/>
          <w:bCs/>
          <w:sz w:val="24"/>
          <w:szCs w:val="24"/>
          <w:lang w:val="hr-HR"/>
        </w:rPr>
        <w:tab/>
        <w:t>Nedim Muratspahić, dipl.oec</w:t>
      </w:r>
    </w:p>
    <w:p w:rsidR="004A2CBA" w:rsidRPr="00314FA4" w:rsidRDefault="004A2CBA" w:rsidP="004A2CBA">
      <w:pPr>
        <w:tabs>
          <w:tab w:val="left" w:pos="1515"/>
        </w:tabs>
        <w:spacing w:after="0" w:line="240" w:lineRule="auto"/>
        <w:jc w:val="both"/>
        <w:rPr>
          <w:rFonts w:ascii="Ebrima" w:eastAsia="Times New Roman" w:hAnsi="Ebrima" w:cs="Times New Roman"/>
          <w:bCs/>
          <w:sz w:val="24"/>
          <w:szCs w:val="24"/>
          <w:lang w:val="hr-HR"/>
        </w:rPr>
      </w:pPr>
      <w:r w:rsidRPr="00314FA4">
        <w:rPr>
          <w:rFonts w:ascii="Ebrima" w:eastAsia="Times New Roman" w:hAnsi="Ebrima" w:cs="Times New Roman"/>
          <w:bCs/>
          <w:sz w:val="24"/>
          <w:szCs w:val="24"/>
          <w:lang w:val="hr-HR"/>
        </w:rPr>
        <w:t xml:space="preserve">Maj, 2023. godine </w:t>
      </w:r>
    </w:p>
    <w:sectPr w:rsidR="004A2CBA" w:rsidRPr="00314FA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858" w:rsidRDefault="00F97858" w:rsidP="0040112E">
      <w:pPr>
        <w:spacing w:after="0" w:line="240" w:lineRule="auto"/>
      </w:pPr>
      <w:r>
        <w:separator/>
      </w:r>
    </w:p>
  </w:endnote>
  <w:endnote w:type="continuationSeparator" w:id="0">
    <w:p w:rsidR="00F97858" w:rsidRDefault="00F97858" w:rsidP="0040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1B" w:rsidRDefault="00073C1B" w:rsidP="00670C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88</w:t>
    </w:r>
    <w:r>
      <w:rPr>
        <w:rStyle w:val="PageNumber"/>
      </w:rPr>
      <w:fldChar w:fldCharType="end"/>
    </w:r>
  </w:p>
  <w:p w:rsidR="00073C1B" w:rsidRDefault="00073C1B">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1B" w:rsidRDefault="00073C1B">
    <w:pPr>
      <w:pStyle w:val="Footer"/>
      <w:jc w:val="right"/>
    </w:pPr>
    <w:r>
      <w:fldChar w:fldCharType="begin"/>
    </w:r>
    <w:r>
      <w:instrText xml:space="preserve"> PAGE   \* MERGEFORMAT </w:instrText>
    </w:r>
    <w:r>
      <w:fldChar w:fldCharType="separate"/>
    </w:r>
    <w:r w:rsidR="0031305F">
      <w:rPr>
        <w:noProof/>
      </w:rPr>
      <w:t>23</w:t>
    </w:r>
    <w:r>
      <w:fldChar w:fldCharType="end"/>
    </w:r>
  </w:p>
  <w:p w:rsidR="00073C1B" w:rsidRDefault="00073C1B">
    <w:pPr>
      <w:pStyle w:val="Footer"/>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1B" w:rsidRDefault="00073C1B">
    <w:pPr>
      <w:pStyle w:val="Footer"/>
      <w:jc w:val="right"/>
    </w:pPr>
  </w:p>
  <w:p w:rsidR="00073C1B" w:rsidRDefault="00073C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858" w:rsidRDefault="00F97858" w:rsidP="0040112E">
      <w:pPr>
        <w:spacing w:after="0" w:line="240" w:lineRule="auto"/>
      </w:pPr>
      <w:r>
        <w:separator/>
      </w:r>
    </w:p>
  </w:footnote>
  <w:footnote w:type="continuationSeparator" w:id="0">
    <w:p w:rsidR="00F97858" w:rsidRDefault="00F97858" w:rsidP="0040112E">
      <w:pPr>
        <w:spacing w:after="0" w:line="240" w:lineRule="auto"/>
      </w:pPr>
      <w:r>
        <w:continuationSeparator/>
      </w:r>
    </w:p>
  </w:footnote>
  <w:footnote w:id="1">
    <w:p w:rsidR="00073C1B" w:rsidRPr="00277D45" w:rsidRDefault="00073C1B" w:rsidP="00733687">
      <w:pPr>
        <w:pStyle w:val="FootnoteText"/>
        <w:rPr>
          <w:lang w:val="bs-Latn-BA"/>
        </w:rPr>
      </w:pPr>
      <w:r>
        <w:rPr>
          <w:rStyle w:val="FootnoteReference"/>
        </w:rPr>
        <w:footnoteRef/>
      </w:r>
      <w:r>
        <w:t xml:space="preserve"> Izvor DEP- septembar 2022.godine</w:t>
      </w:r>
    </w:p>
  </w:footnote>
  <w:footnote w:id="2">
    <w:p w:rsidR="00073C1B" w:rsidRDefault="00073C1B" w:rsidP="00885611">
      <w:pPr>
        <w:pStyle w:val="footnotedescription"/>
      </w:pPr>
      <w:r>
        <w:rPr>
          <w:rStyle w:val="footnotemark"/>
        </w:rPr>
        <w:footnoteRef/>
      </w:r>
      <w:r>
        <w:t xml:space="preserve"> Vidi metodologiju izračuna indikatora „Porezi na dohotke fizičkih </w:t>
      </w:r>
      <w:proofErr w:type="gramStart"/>
      <w:r>
        <w:t>lica“ na</w:t>
      </w:r>
      <w:proofErr w:type="gramEnd"/>
      <w:r>
        <w:t xml:space="preserve"> strani 9</w:t>
      </w:r>
      <w:r>
        <w:rPr>
          <w:rFonts w:ascii="Times New Roman" w:eastAsia="Times New Roman" w:hAnsi="Times New Roman" w:cs="Times New Roman"/>
          <w:sz w:val="20"/>
        </w:rPr>
        <w:t xml:space="preserve">. </w:t>
      </w:r>
    </w:p>
  </w:footnote>
  <w:footnote w:id="3">
    <w:p w:rsidR="00073C1B" w:rsidRDefault="00073C1B" w:rsidP="00885611">
      <w:pPr>
        <w:pStyle w:val="footnotedescription"/>
        <w:spacing w:after="29"/>
        <w:jc w:val="both"/>
      </w:pPr>
      <w:r>
        <w:rPr>
          <w:rStyle w:val="footnotemark"/>
        </w:rPr>
        <w:footnoteRef/>
      </w:r>
      <w:r>
        <w:t xml:space="preserve"> Podaci o investicijama za 2021. godinu po kantonima u FBiH biće dostupni u augustu 2022. godine. </w:t>
      </w:r>
    </w:p>
    <w:p w:rsidR="00073C1B" w:rsidRDefault="00073C1B" w:rsidP="00885611">
      <w:pPr>
        <w:pStyle w:val="footnotedescription"/>
      </w:pPr>
      <w:r>
        <w:rPr>
          <w:rFonts w:ascii="Times New Roman" w:eastAsia="Times New Roman" w:hAnsi="Times New Roman" w:cs="Times New Roman"/>
          <w:sz w:val="20"/>
        </w:rPr>
        <w:t xml:space="preserve"> </w:t>
      </w:r>
    </w:p>
  </w:footnote>
  <w:footnote w:id="4">
    <w:p w:rsidR="00073C1B" w:rsidRPr="00277D45" w:rsidRDefault="00073C1B" w:rsidP="00BC6EE8">
      <w:pPr>
        <w:pStyle w:val="FootnoteText"/>
        <w:rPr>
          <w:lang w:val="bs-Latn-BA"/>
        </w:rPr>
      </w:pPr>
    </w:p>
  </w:footnote>
  <w:footnote w:id="5">
    <w:p w:rsidR="00073C1B" w:rsidRPr="00D44D72" w:rsidRDefault="00073C1B" w:rsidP="00BC6EE8">
      <w:pPr>
        <w:pStyle w:val="FootnoteText"/>
        <w:jc w:val="both"/>
        <w:rPr>
          <w:sz w:val="18"/>
          <w:szCs w:val="18"/>
          <w:lang w:val="bs-Latn-BA"/>
        </w:rPr>
      </w:pPr>
      <w:r w:rsidRPr="00D44D72">
        <w:rPr>
          <w:bCs/>
          <w:iCs/>
          <w:sz w:val="18"/>
          <w:szCs w:val="18"/>
        </w:rPr>
        <w:t>2 http://www.turizam-bpk.ba/v1/index.php/features</w:t>
      </w:r>
    </w:p>
  </w:footnote>
  <w:footnote w:id="6">
    <w:p w:rsidR="00073C1B" w:rsidRPr="00325A2F" w:rsidRDefault="00073C1B" w:rsidP="0040112E">
      <w:pPr>
        <w:pStyle w:val="FootnoteText"/>
        <w:rPr>
          <w:rFonts w:ascii="Arial" w:hAnsi="Arial" w:cs="Arial"/>
          <w:sz w:val="16"/>
          <w:szCs w:val="16"/>
          <w:lang w:val="hr-HR"/>
        </w:rPr>
      </w:pPr>
      <w:r w:rsidRPr="00A4329C">
        <w:rPr>
          <w:rStyle w:val="FootnoteReference"/>
          <w:rFonts w:ascii="Times New Roman" w:hAnsi="Times New Roman"/>
          <w:i/>
        </w:rPr>
        <w:footnoteRef/>
      </w:r>
      <w:r w:rsidRPr="00A4329C">
        <w:rPr>
          <w:rFonts w:ascii="Times New Roman" w:hAnsi="Times New Roman"/>
          <w:i/>
          <w:lang w:val="pl-PL"/>
        </w:rPr>
        <w:t xml:space="preserve"> </w:t>
      </w:r>
      <w:r w:rsidRPr="00325A2F">
        <w:rPr>
          <w:rFonts w:ascii="Arial" w:hAnsi="Arial" w:cs="Arial"/>
          <w:i/>
          <w:sz w:val="16"/>
          <w:szCs w:val="16"/>
          <w:lang w:val="hr-HR"/>
        </w:rPr>
        <w:t>Federalno ministarstvo finansija - financija;  Akt broj: 05-12-5-</w:t>
      </w:r>
      <w:r>
        <w:rPr>
          <w:rFonts w:ascii="Arial" w:hAnsi="Arial" w:cs="Arial"/>
          <w:i/>
          <w:sz w:val="16"/>
          <w:szCs w:val="16"/>
          <w:lang w:val="hr-HR"/>
        </w:rPr>
        <w:t>3955/22-2 od 07.11.2022</w:t>
      </w:r>
      <w:r w:rsidRPr="00325A2F">
        <w:rPr>
          <w:rFonts w:ascii="Arial" w:hAnsi="Arial" w:cs="Arial"/>
          <w:i/>
          <w:sz w:val="16"/>
          <w:szCs w:val="16"/>
          <w:lang w:val="hr-HR"/>
        </w:rPr>
        <w:t>. godine</w:t>
      </w:r>
    </w:p>
  </w:footnote>
  <w:footnote w:id="7">
    <w:p w:rsidR="00073C1B" w:rsidRDefault="00073C1B" w:rsidP="008C0668">
      <w:pPr>
        <w:pStyle w:val="footnotedescription"/>
      </w:pPr>
      <w:r>
        <w:rPr>
          <w:rStyle w:val="footnotemark"/>
        </w:rPr>
        <w:footnoteRef/>
      </w:r>
      <w:r>
        <w:t xml:space="preserve"> „Službeni glasnik </w:t>
      </w:r>
      <w:proofErr w:type="gramStart"/>
      <w:r>
        <w:t>BiH“</w:t>
      </w:r>
      <w:proofErr w:type="gramEnd"/>
      <w:r>
        <w:t xml:space="preserve">, br. 05/05 </w:t>
      </w:r>
    </w:p>
  </w:footnote>
  <w:footnote w:id="8">
    <w:p w:rsidR="00073C1B" w:rsidRDefault="00073C1B" w:rsidP="008C0668">
      <w:pPr>
        <w:pStyle w:val="footnotedescription"/>
      </w:pPr>
      <w:r>
        <w:rPr>
          <w:rStyle w:val="footnotemark"/>
        </w:rPr>
        <w:footnoteRef/>
      </w:r>
      <w:r>
        <w:t xml:space="preserve"> Izvor: Antić, D., 2013. “Multi-level fiscal system in Bosnia and Herzegovina: evolution and coping with economic crisis”. </w:t>
      </w:r>
    </w:p>
    <w:p w:rsidR="00073C1B" w:rsidRDefault="00073C1B" w:rsidP="008C0668">
      <w:pPr>
        <w:pStyle w:val="footnotedescription"/>
      </w:pPr>
      <w:r>
        <w:t xml:space="preserve">Financial Theory and Practice, 37 (3), 279-310. </w:t>
      </w:r>
      <w:r>
        <w:rPr>
          <w:color w:val="0000FF"/>
          <w:u w:val="single" w:color="0000FF"/>
        </w:rPr>
        <w:t>http://www.fintp.hr/upload/files/ftp/2013/3/antic.pdf</w:t>
      </w:r>
      <w:r>
        <w:t xml:space="preserve">  </w:t>
      </w:r>
    </w:p>
  </w:footnote>
  <w:footnote w:id="9">
    <w:p w:rsidR="00073C1B" w:rsidRDefault="00073C1B" w:rsidP="008C0668">
      <w:pPr>
        <w:pStyle w:val="footnotedescription"/>
      </w:pPr>
      <w:r>
        <w:rPr>
          <w:rStyle w:val="footnotemark"/>
        </w:rPr>
        <w:footnoteRef/>
      </w:r>
      <w:r>
        <w:t xml:space="preserve"> član 6. Zakona o pripadnosti javnih prihoda u Federaciji BiH, “Službeni glasnik FBiH” br. 22/06,43/08,22/09,35/14,94/15 </w:t>
      </w:r>
    </w:p>
  </w:footnote>
  <w:footnote w:id="10">
    <w:p w:rsidR="00073C1B" w:rsidRDefault="00073C1B" w:rsidP="008C0668">
      <w:pPr>
        <w:pStyle w:val="footnotedescription"/>
      </w:pPr>
      <w:r>
        <w:rPr>
          <w:rStyle w:val="footnotemark"/>
        </w:rPr>
        <w:footnoteRef/>
      </w:r>
      <w:r>
        <w:t xml:space="preserve"> član 9. Zakona o pripadnosti javnih prihoda u Federaciji BiH, “Službeni glasnik FBiH” br. 22/06,43/08,22/09,35/14,94/15 </w:t>
      </w:r>
    </w:p>
  </w:footnote>
  <w:footnote w:id="11">
    <w:p w:rsidR="00073C1B" w:rsidRPr="00277D45" w:rsidRDefault="00073C1B" w:rsidP="00F92226">
      <w:pPr>
        <w:pStyle w:val="FootnoteText"/>
        <w:rPr>
          <w:lang w:val="bs-Latn-BA"/>
        </w:rPr>
      </w:pPr>
      <w:r>
        <w:rPr>
          <w:rStyle w:val="FootnoteReference"/>
        </w:rPr>
        <w:footnoteRef/>
      </w:r>
      <w:r>
        <w:t xml:space="preserve"> </w:t>
      </w:r>
      <w:r>
        <w:rPr>
          <w:lang w:val="bs-Latn-BA"/>
        </w:rPr>
        <w:t xml:space="preserve">Otplatni plan i Ugovor  o </w:t>
      </w:r>
      <w:r w:rsidRPr="00495CBD">
        <w:rPr>
          <w:lang w:val="bs-Latn-BA"/>
        </w:rPr>
        <w:t>Stand by aranžmanu MMF</w:t>
      </w:r>
      <w:r>
        <w:rPr>
          <w:lang w:val="bs-Latn-BA"/>
        </w:rPr>
        <w:t>-a-Federacija BiH i BPK-a Goražde</w:t>
      </w:r>
    </w:p>
  </w:footnote>
  <w:footnote w:id="12">
    <w:p w:rsidR="00073C1B" w:rsidRPr="00EA2A06" w:rsidRDefault="00073C1B">
      <w:pPr>
        <w:pStyle w:val="FootnoteText"/>
        <w:rPr>
          <w:lang w:val="bs-Latn-BA"/>
        </w:rPr>
      </w:pPr>
      <w:r>
        <w:rPr>
          <w:rStyle w:val="FootnoteReference"/>
        </w:rPr>
        <w:footnoteRef/>
      </w:r>
      <w:r>
        <w:t xml:space="preserve"> </w:t>
      </w:r>
      <w:r>
        <w:rPr>
          <w:lang w:val="bs-Latn-BA"/>
        </w:rPr>
        <w:t>Ciljevi i politike Bosansko-podrinjskog kantona Goražde za 2023. godinu.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1B" w:rsidRPr="00E551F0" w:rsidRDefault="00073C1B" w:rsidP="002604A9">
    <w:pPr>
      <w:pStyle w:val="Header"/>
      <w:pBdr>
        <w:bottom w:val="thickThinSmallGap" w:sz="24" w:space="1" w:color="622423"/>
      </w:pBdr>
      <w:jc w:val="center"/>
      <w:rPr>
        <w:rFonts w:ascii="Arial" w:hAnsi="Arial" w:cs="Arial"/>
        <w:sz w:val="16"/>
        <w:szCs w:val="16"/>
        <w:lang w:val="bs-Latn-BA"/>
      </w:rPr>
    </w:pPr>
    <w:r>
      <w:rPr>
        <w:rFonts w:ascii="Arial" w:hAnsi="Arial" w:cs="Arial"/>
        <w:sz w:val="16"/>
        <w:szCs w:val="16"/>
        <w:lang w:val="bs-Latn-BA"/>
      </w:rPr>
      <w:t>SMJERNICE EKONOMSKE I FISKALNE POLITIKE BPK GORAŽDE  2024-2026</w:t>
    </w:r>
    <w:r w:rsidRPr="00622B57">
      <w:rPr>
        <w:rFonts w:ascii="Arial" w:hAnsi="Arial" w:cs="Arial"/>
        <w:sz w:val="16"/>
        <w:szCs w:val="16"/>
        <w:lang w:val="bs-Latn-BA"/>
      </w:rPr>
      <w:t>. GODINA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1B" w:rsidRDefault="00073C1B" w:rsidP="00670CE5">
    <w:pPr>
      <w:pStyle w:val="Header"/>
      <w:pBdr>
        <w:bottom w:val="thickThinSmallGap" w:sz="24" w:space="0" w:color="622423"/>
      </w:pBdr>
      <w:jc w:val="center"/>
      <w:rPr>
        <w:rFonts w:ascii="Cambria" w:hAnsi="Cambria"/>
        <w:sz w:val="16"/>
        <w:szCs w:val="16"/>
        <w:lang w:val="bs-Latn-BA"/>
      </w:rPr>
    </w:pPr>
  </w:p>
  <w:p w:rsidR="00073C1B" w:rsidRDefault="00073C1B" w:rsidP="00670CE5">
    <w:pPr>
      <w:pStyle w:val="Header"/>
      <w:pBdr>
        <w:bottom w:val="thickThinSmallGap" w:sz="24" w:space="0" w:color="622423"/>
      </w:pBdr>
      <w:jc w:val="center"/>
      <w:rPr>
        <w:rFonts w:ascii="Cambria" w:hAnsi="Cambria"/>
        <w:sz w:val="16"/>
        <w:szCs w:val="16"/>
        <w:lang w:val="bs-Latn-BA"/>
      </w:rPr>
    </w:pPr>
  </w:p>
  <w:p w:rsidR="00073C1B" w:rsidRDefault="00073C1B" w:rsidP="00670CE5">
    <w:pPr>
      <w:pStyle w:val="Header"/>
      <w:pBdr>
        <w:bottom w:val="thickThinSmallGap" w:sz="24" w:space="0" w:color="622423"/>
      </w:pBdr>
      <w:jc w:val="center"/>
      <w:rPr>
        <w:rFonts w:ascii="Cambria" w:hAnsi="Cambria"/>
        <w:sz w:val="16"/>
        <w:szCs w:val="16"/>
        <w:lang w:val="bs-Latn-BA"/>
      </w:rPr>
    </w:pPr>
  </w:p>
  <w:p w:rsidR="00073C1B" w:rsidRPr="00E551F0" w:rsidRDefault="00073C1B" w:rsidP="00670CE5">
    <w:pPr>
      <w:pStyle w:val="Header"/>
      <w:pBdr>
        <w:bottom w:val="thickThinSmallGap" w:sz="24" w:space="0" w:color="622423"/>
      </w:pBdr>
      <w:jc w:val="center"/>
      <w:rPr>
        <w:rFonts w:ascii="Arial" w:hAnsi="Arial" w:cs="Arial"/>
        <w:sz w:val="16"/>
        <w:szCs w:val="16"/>
        <w:lang w:val="bs-Latn-BA"/>
      </w:rPr>
    </w:pPr>
    <w:r>
      <w:rPr>
        <w:rFonts w:ascii="Arial" w:hAnsi="Arial" w:cs="Arial"/>
        <w:sz w:val="16"/>
        <w:szCs w:val="16"/>
        <w:lang w:val="bs-Latn-BA"/>
      </w:rPr>
      <w:t>SMJERNICE EKONOMSKE I FISKALNE POLITIKE BPK GORAŽDE 2024.-2026</w:t>
    </w:r>
    <w:r w:rsidRPr="00622B57">
      <w:rPr>
        <w:rFonts w:ascii="Arial" w:hAnsi="Arial" w:cs="Arial"/>
        <w:sz w:val="16"/>
        <w:szCs w:val="16"/>
        <w:lang w:val="bs-Latn-BA"/>
      </w:rPr>
      <w:t>. GODINA</w:t>
    </w:r>
  </w:p>
  <w:p w:rsidR="00073C1B" w:rsidRDefault="00073C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E6F"/>
    <w:multiLevelType w:val="hybridMultilevel"/>
    <w:tmpl w:val="9C2E173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46197A68"/>
    <w:multiLevelType w:val="hybridMultilevel"/>
    <w:tmpl w:val="1092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815C2"/>
    <w:multiLevelType w:val="hybridMultilevel"/>
    <w:tmpl w:val="ED5217EC"/>
    <w:lvl w:ilvl="0" w:tplc="141A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A607AA"/>
    <w:multiLevelType w:val="hybridMultilevel"/>
    <w:tmpl w:val="4F5C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34AB0"/>
    <w:multiLevelType w:val="hybridMultilevel"/>
    <w:tmpl w:val="BC8242AE"/>
    <w:lvl w:ilvl="0" w:tplc="E99E10F4">
      <w:numFmt w:val="bullet"/>
      <w:lvlText w:val="-"/>
      <w:lvlJc w:val="left"/>
      <w:pPr>
        <w:ind w:left="720" w:hanging="360"/>
      </w:pPr>
      <w:rPr>
        <w:rFonts w:ascii="Ebrima" w:eastAsia="Times New Roman" w:hAnsi="Ebri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2E"/>
    <w:rsid w:val="00000E05"/>
    <w:rsid w:val="0000260F"/>
    <w:rsid w:val="00025F8E"/>
    <w:rsid w:val="0003263F"/>
    <w:rsid w:val="000444F6"/>
    <w:rsid w:val="0004563E"/>
    <w:rsid w:val="000576D0"/>
    <w:rsid w:val="00061179"/>
    <w:rsid w:val="00061CC7"/>
    <w:rsid w:val="00063929"/>
    <w:rsid w:val="00065922"/>
    <w:rsid w:val="00067004"/>
    <w:rsid w:val="00072E8F"/>
    <w:rsid w:val="00073C1B"/>
    <w:rsid w:val="0007403C"/>
    <w:rsid w:val="000847D9"/>
    <w:rsid w:val="00091408"/>
    <w:rsid w:val="0009162F"/>
    <w:rsid w:val="00092E5B"/>
    <w:rsid w:val="00093C66"/>
    <w:rsid w:val="00095382"/>
    <w:rsid w:val="00097F69"/>
    <w:rsid w:val="000A4D4A"/>
    <w:rsid w:val="000B0A00"/>
    <w:rsid w:val="000B41A8"/>
    <w:rsid w:val="000C0C71"/>
    <w:rsid w:val="000C671D"/>
    <w:rsid w:val="000D043D"/>
    <w:rsid w:val="000D35B3"/>
    <w:rsid w:val="000D7509"/>
    <w:rsid w:val="000D7EA7"/>
    <w:rsid w:val="000E4019"/>
    <w:rsid w:val="000F2C3F"/>
    <w:rsid w:val="00103B5A"/>
    <w:rsid w:val="00105E76"/>
    <w:rsid w:val="00107794"/>
    <w:rsid w:val="00120EAA"/>
    <w:rsid w:val="00123197"/>
    <w:rsid w:val="00153802"/>
    <w:rsid w:val="00156323"/>
    <w:rsid w:val="001607F1"/>
    <w:rsid w:val="0017409A"/>
    <w:rsid w:val="00182C5D"/>
    <w:rsid w:val="001924A7"/>
    <w:rsid w:val="00196CB6"/>
    <w:rsid w:val="001A7162"/>
    <w:rsid w:val="001A7169"/>
    <w:rsid w:val="001B1D07"/>
    <w:rsid w:val="001B5EFA"/>
    <w:rsid w:val="001C29DE"/>
    <w:rsid w:val="001C2F33"/>
    <w:rsid w:val="001C3115"/>
    <w:rsid w:val="001C48FD"/>
    <w:rsid w:val="001C7295"/>
    <w:rsid w:val="001D3785"/>
    <w:rsid w:val="001D7894"/>
    <w:rsid w:val="001E0D28"/>
    <w:rsid w:val="001E252F"/>
    <w:rsid w:val="001F7A13"/>
    <w:rsid w:val="0020399A"/>
    <w:rsid w:val="00211735"/>
    <w:rsid w:val="002130E0"/>
    <w:rsid w:val="00214148"/>
    <w:rsid w:val="002200A9"/>
    <w:rsid w:val="00220A40"/>
    <w:rsid w:val="00225106"/>
    <w:rsid w:val="00244794"/>
    <w:rsid w:val="00245049"/>
    <w:rsid w:val="00246B56"/>
    <w:rsid w:val="0025477B"/>
    <w:rsid w:val="00254880"/>
    <w:rsid w:val="00254A10"/>
    <w:rsid w:val="002604A9"/>
    <w:rsid w:val="002624D3"/>
    <w:rsid w:val="00282BC7"/>
    <w:rsid w:val="00284ED5"/>
    <w:rsid w:val="002A4D19"/>
    <w:rsid w:val="002B248C"/>
    <w:rsid w:val="002B66CB"/>
    <w:rsid w:val="002B6C7B"/>
    <w:rsid w:val="002D1F8E"/>
    <w:rsid w:val="002E09A0"/>
    <w:rsid w:val="002E3017"/>
    <w:rsid w:val="002E57B6"/>
    <w:rsid w:val="002F4C7E"/>
    <w:rsid w:val="002F6400"/>
    <w:rsid w:val="00302627"/>
    <w:rsid w:val="00303315"/>
    <w:rsid w:val="00304484"/>
    <w:rsid w:val="0031305F"/>
    <w:rsid w:val="00314FA4"/>
    <w:rsid w:val="003160F9"/>
    <w:rsid w:val="00321FF5"/>
    <w:rsid w:val="00325A2F"/>
    <w:rsid w:val="003268F3"/>
    <w:rsid w:val="00341DAF"/>
    <w:rsid w:val="00343DAA"/>
    <w:rsid w:val="00347E64"/>
    <w:rsid w:val="00351E49"/>
    <w:rsid w:val="00352429"/>
    <w:rsid w:val="0036033C"/>
    <w:rsid w:val="003624A1"/>
    <w:rsid w:val="00367E91"/>
    <w:rsid w:val="003826EA"/>
    <w:rsid w:val="00386DA9"/>
    <w:rsid w:val="00387950"/>
    <w:rsid w:val="00390621"/>
    <w:rsid w:val="003929EB"/>
    <w:rsid w:val="003A09B1"/>
    <w:rsid w:val="003A7A2B"/>
    <w:rsid w:val="003B7496"/>
    <w:rsid w:val="003B77B0"/>
    <w:rsid w:val="003C2418"/>
    <w:rsid w:val="003D1EA0"/>
    <w:rsid w:val="003D3774"/>
    <w:rsid w:val="003D7AF4"/>
    <w:rsid w:val="003E7680"/>
    <w:rsid w:val="003F6F92"/>
    <w:rsid w:val="0040112E"/>
    <w:rsid w:val="00401335"/>
    <w:rsid w:val="00402F48"/>
    <w:rsid w:val="00403B95"/>
    <w:rsid w:val="00406A60"/>
    <w:rsid w:val="004129C6"/>
    <w:rsid w:val="00413296"/>
    <w:rsid w:val="00423AD1"/>
    <w:rsid w:val="00423EB2"/>
    <w:rsid w:val="004271C8"/>
    <w:rsid w:val="00427661"/>
    <w:rsid w:val="00450C63"/>
    <w:rsid w:val="00452DEA"/>
    <w:rsid w:val="004623E9"/>
    <w:rsid w:val="004630D3"/>
    <w:rsid w:val="004A1CE7"/>
    <w:rsid w:val="004A2CBA"/>
    <w:rsid w:val="004C3599"/>
    <w:rsid w:val="004C4E90"/>
    <w:rsid w:val="004D2D74"/>
    <w:rsid w:val="004D779F"/>
    <w:rsid w:val="004E3E02"/>
    <w:rsid w:val="004E5C40"/>
    <w:rsid w:val="004F528F"/>
    <w:rsid w:val="00501E4A"/>
    <w:rsid w:val="005025B7"/>
    <w:rsid w:val="005069AF"/>
    <w:rsid w:val="00507FE2"/>
    <w:rsid w:val="00510053"/>
    <w:rsid w:val="00516EEA"/>
    <w:rsid w:val="00523AD0"/>
    <w:rsid w:val="00524524"/>
    <w:rsid w:val="00525560"/>
    <w:rsid w:val="005264FB"/>
    <w:rsid w:val="00533BC3"/>
    <w:rsid w:val="00536586"/>
    <w:rsid w:val="005451B7"/>
    <w:rsid w:val="005479D7"/>
    <w:rsid w:val="00553B35"/>
    <w:rsid w:val="005545DD"/>
    <w:rsid w:val="005546DE"/>
    <w:rsid w:val="005607B3"/>
    <w:rsid w:val="00565B9C"/>
    <w:rsid w:val="00576F8D"/>
    <w:rsid w:val="00577BAE"/>
    <w:rsid w:val="0058479C"/>
    <w:rsid w:val="005879E6"/>
    <w:rsid w:val="00596CA3"/>
    <w:rsid w:val="005A1E4D"/>
    <w:rsid w:val="005A2F82"/>
    <w:rsid w:val="005C05FF"/>
    <w:rsid w:val="005C30C1"/>
    <w:rsid w:val="005D2D01"/>
    <w:rsid w:val="005E1086"/>
    <w:rsid w:val="005E3503"/>
    <w:rsid w:val="005E5B25"/>
    <w:rsid w:val="005E6DA7"/>
    <w:rsid w:val="005F0FEA"/>
    <w:rsid w:val="005F1BB3"/>
    <w:rsid w:val="005F2F01"/>
    <w:rsid w:val="006206AD"/>
    <w:rsid w:val="006210D9"/>
    <w:rsid w:val="00630E71"/>
    <w:rsid w:val="00632F2D"/>
    <w:rsid w:val="00635E59"/>
    <w:rsid w:val="00646662"/>
    <w:rsid w:val="006513FB"/>
    <w:rsid w:val="00653135"/>
    <w:rsid w:val="00655E04"/>
    <w:rsid w:val="00657B10"/>
    <w:rsid w:val="0066335C"/>
    <w:rsid w:val="00670CD4"/>
    <w:rsid w:val="00670CE5"/>
    <w:rsid w:val="00673626"/>
    <w:rsid w:val="00675492"/>
    <w:rsid w:val="006776D9"/>
    <w:rsid w:val="006837A6"/>
    <w:rsid w:val="00686D01"/>
    <w:rsid w:val="00690515"/>
    <w:rsid w:val="00694A27"/>
    <w:rsid w:val="00697C58"/>
    <w:rsid w:val="006A1024"/>
    <w:rsid w:val="006B1FDC"/>
    <w:rsid w:val="006C0B69"/>
    <w:rsid w:val="006D0A54"/>
    <w:rsid w:val="006D404C"/>
    <w:rsid w:val="006D4CDB"/>
    <w:rsid w:val="006D71FE"/>
    <w:rsid w:val="006E03CB"/>
    <w:rsid w:val="006E3944"/>
    <w:rsid w:val="006E5901"/>
    <w:rsid w:val="006E5EB0"/>
    <w:rsid w:val="0070491B"/>
    <w:rsid w:val="0070747A"/>
    <w:rsid w:val="00707F94"/>
    <w:rsid w:val="0071324D"/>
    <w:rsid w:val="007234E4"/>
    <w:rsid w:val="00726939"/>
    <w:rsid w:val="00733687"/>
    <w:rsid w:val="00745D98"/>
    <w:rsid w:val="007520D0"/>
    <w:rsid w:val="00753DFE"/>
    <w:rsid w:val="007544D0"/>
    <w:rsid w:val="007571F5"/>
    <w:rsid w:val="0075726C"/>
    <w:rsid w:val="00760253"/>
    <w:rsid w:val="00764558"/>
    <w:rsid w:val="00773CFE"/>
    <w:rsid w:val="007779FA"/>
    <w:rsid w:val="00786C8D"/>
    <w:rsid w:val="00786E90"/>
    <w:rsid w:val="0079031A"/>
    <w:rsid w:val="007926E2"/>
    <w:rsid w:val="0079469E"/>
    <w:rsid w:val="007A27E4"/>
    <w:rsid w:val="007A430C"/>
    <w:rsid w:val="007C1A0B"/>
    <w:rsid w:val="007C43F8"/>
    <w:rsid w:val="007C6A65"/>
    <w:rsid w:val="007D3ECA"/>
    <w:rsid w:val="007D44DC"/>
    <w:rsid w:val="008001C9"/>
    <w:rsid w:val="008051E4"/>
    <w:rsid w:val="00814EFB"/>
    <w:rsid w:val="00820790"/>
    <w:rsid w:val="0082389C"/>
    <w:rsid w:val="008242C0"/>
    <w:rsid w:val="008326AB"/>
    <w:rsid w:val="00835DD7"/>
    <w:rsid w:val="00840299"/>
    <w:rsid w:val="008425D2"/>
    <w:rsid w:val="0084384E"/>
    <w:rsid w:val="00854E3F"/>
    <w:rsid w:val="0085625D"/>
    <w:rsid w:val="00863D61"/>
    <w:rsid w:val="008660CF"/>
    <w:rsid w:val="00871CD2"/>
    <w:rsid w:val="008852FF"/>
    <w:rsid w:val="00885611"/>
    <w:rsid w:val="0088659A"/>
    <w:rsid w:val="00895C9C"/>
    <w:rsid w:val="00895FB9"/>
    <w:rsid w:val="008B01B3"/>
    <w:rsid w:val="008B2538"/>
    <w:rsid w:val="008B2861"/>
    <w:rsid w:val="008B55E9"/>
    <w:rsid w:val="008C0668"/>
    <w:rsid w:val="008C1583"/>
    <w:rsid w:val="008C18A2"/>
    <w:rsid w:val="008C1E11"/>
    <w:rsid w:val="008C30D6"/>
    <w:rsid w:val="008C6C28"/>
    <w:rsid w:val="008D4F34"/>
    <w:rsid w:val="008D5F58"/>
    <w:rsid w:val="008E1AC5"/>
    <w:rsid w:val="008F49FA"/>
    <w:rsid w:val="009026F2"/>
    <w:rsid w:val="009124C2"/>
    <w:rsid w:val="0092094F"/>
    <w:rsid w:val="0092179D"/>
    <w:rsid w:val="0092187F"/>
    <w:rsid w:val="009401B7"/>
    <w:rsid w:val="00944E4E"/>
    <w:rsid w:val="009458A6"/>
    <w:rsid w:val="009612D0"/>
    <w:rsid w:val="0096185C"/>
    <w:rsid w:val="00962E86"/>
    <w:rsid w:val="00967DEC"/>
    <w:rsid w:val="0097123B"/>
    <w:rsid w:val="009719FE"/>
    <w:rsid w:val="00983DFA"/>
    <w:rsid w:val="00990E9A"/>
    <w:rsid w:val="0099626F"/>
    <w:rsid w:val="009A3659"/>
    <w:rsid w:val="009A70C5"/>
    <w:rsid w:val="009C7504"/>
    <w:rsid w:val="009D4A68"/>
    <w:rsid w:val="009D535C"/>
    <w:rsid w:val="009D6C99"/>
    <w:rsid w:val="009E1757"/>
    <w:rsid w:val="009E57C1"/>
    <w:rsid w:val="009F11C1"/>
    <w:rsid w:val="009F27F2"/>
    <w:rsid w:val="009F3AD2"/>
    <w:rsid w:val="00A13D29"/>
    <w:rsid w:val="00A239A9"/>
    <w:rsid w:val="00A2402D"/>
    <w:rsid w:val="00A324E5"/>
    <w:rsid w:val="00A33983"/>
    <w:rsid w:val="00A347CB"/>
    <w:rsid w:val="00A4329C"/>
    <w:rsid w:val="00A4613E"/>
    <w:rsid w:val="00A46A73"/>
    <w:rsid w:val="00A47CD5"/>
    <w:rsid w:val="00A55662"/>
    <w:rsid w:val="00A55DF2"/>
    <w:rsid w:val="00A574CF"/>
    <w:rsid w:val="00A62050"/>
    <w:rsid w:val="00A64B0F"/>
    <w:rsid w:val="00A73A3F"/>
    <w:rsid w:val="00A840A8"/>
    <w:rsid w:val="00A85355"/>
    <w:rsid w:val="00A86C5B"/>
    <w:rsid w:val="00A979D1"/>
    <w:rsid w:val="00AA095A"/>
    <w:rsid w:val="00AA240C"/>
    <w:rsid w:val="00AA47D2"/>
    <w:rsid w:val="00AB168E"/>
    <w:rsid w:val="00AB5767"/>
    <w:rsid w:val="00AC5E42"/>
    <w:rsid w:val="00AC649E"/>
    <w:rsid w:val="00AD2536"/>
    <w:rsid w:val="00AD50C3"/>
    <w:rsid w:val="00AD5974"/>
    <w:rsid w:val="00AD5D53"/>
    <w:rsid w:val="00AE771C"/>
    <w:rsid w:val="00AF29C3"/>
    <w:rsid w:val="00AF2FD6"/>
    <w:rsid w:val="00AF7F77"/>
    <w:rsid w:val="00B0455C"/>
    <w:rsid w:val="00B10C08"/>
    <w:rsid w:val="00B1356A"/>
    <w:rsid w:val="00B17C55"/>
    <w:rsid w:val="00B23C1E"/>
    <w:rsid w:val="00B40ED9"/>
    <w:rsid w:val="00B4652C"/>
    <w:rsid w:val="00B518A1"/>
    <w:rsid w:val="00B52905"/>
    <w:rsid w:val="00B6362D"/>
    <w:rsid w:val="00B6451C"/>
    <w:rsid w:val="00B66BFA"/>
    <w:rsid w:val="00B85DAC"/>
    <w:rsid w:val="00B87940"/>
    <w:rsid w:val="00BA0952"/>
    <w:rsid w:val="00BA6AC1"/>
    <w:rsid w:val="00BC47B3"/>
    <w:rsid w:val="00BC6ED0"/>
    <w:rsid w:val="00BC6EE8"/>
    <w:rsid w:val="00BD1B91"/>
    <w:rsid w:val="00BD219B"/>
    <w:rsid w:val="00BD45A3"/>
    <w:rsid w:val="00BD7090"/>
    <w:rsid w:val="00BE0493"/>
    <w:rsid w:val="00BE3ABB"/>
    <w:rsid w:val="00BE7A39"/>
    <w:rsid w:val="00BF57AB"/>
    <w:rsid w:val="00C0597B"/>
    <w:rsid w:val="00C0710A"/>
    <w:rsid w:val="00C10F27"/>
    <w:rsid w:val="00C11D36"/>
    <w:rsid w:val="00C17DC5"/>
    <w:rsid w:val="00C23829"/>
    <w:rsid w:val="00C240DB"/>
    <w:rsid w:val="00C30931"/>
    <w:rsid w:val="00C30A15"/>
    <w:rsid w:val="00C30FB9"/>
    <w:rsid w:val="00C34A2F"/>
    <w:rsid w:val="00C34D14"/>
    <w:rsid w:val="00C37EBC"/>
    <w:rsid w:val="00C40425"/>
    <w:rsid w:val="00C4070E"/>
    <w:rsid w:val="00C422AF"/>
    <w:rsid w:val="00C63018"/>
    <w:rsid w:val="00C711B7"/>
    <w:rsid w:val="00C83287"/>
    <w:rsid w:val="00C84A3C"/>
    <w:rsid w:val="00C93917"/>
    <w:rsid w:val="00C97B20"/>
    <w:rsid w:val="00CB1419"/>
    <w:rsid w:val="00CB7BE2"/>
    <w:rsid w:val="00CC281E"/>
    <w:rsid w:val="00CC2E58"/>
    <w:rsid w:val="00CC68B8"/>
    <w:rsid w:val="00CD47B2"/>
    <w:rsid w:val="00CD4F46"/>
    <w:rsid w:val="00CE2560"/>
    <w:rsid w:val="00CE58B3"/>
    <w:rsid w:val="00CF7B43"/>
    <w:rsid w:val="00D13B0C"/>
    <w:rsid w:val="00D22251"/>
    <w:rsid w:val="00D36E92"/>
    <w:rsid w:val="00D37DA5"/>
    <w:rsid w:val="00D40487"/>
    <w:rsid w:val="00D44D72"/>
    <w:rsid w:val="00D57A6D"/>
    <w:rsid w:val="00D61D21"/>
    <w:rsid w:val="00D666EB"/>
    <w:rsid w:val="00D74819"/>
    <w:rsid w:val="00D802C6"/>
    <w:rsid w:val="00D82D44"/>
    <w:rsid w:val="00D855C6"/>
    <w:rsid w:val="00D8658B"/>
    <w:rsid w:val="00D87587"/>
    <w:rsid w:val="00D913DF"/>
    <w:rsid w:val="00D94B30"/>
    <w:rsid w:val="00D95411"/>
    <w:rsid w:val="00DA59F1"/>
    <w:rsid w:val="00DC3039"/>
    <w:rsid w:val="00DC5975"/>
    <w:rsid w:val="00DC71EF"/>
    <w:rsid w:val="00DD2D46"/>
    <w:rsid w:val="00DE6A95"/>
    <w:rsid w:val="00E01209"/>
    <w:rsid w:val="00E03E32"/>
    <w:rsid w:val="00E05557"/>
    <w:rsid w:val="00E076D1"/>
    <w:rsid w:val="00E15252"/>
    <w:rsid w:val="00E1747F"/>
    <w:rsid w:val="00E1768B"/>
    <w:rsid w:val="00E26B92"/>
    <w:rsid w:val="00E3708F"/>
    <w:rsid w:val="00E419F5"/>
    <w:rsid w:val="00E45DB5"/>
    <w:rsid w:val="00E60B64"/>
    <w:rsid w:val="00E625CB"/>
    <w:rsid w:val="00E640D7"/>
    <w:rsid w:val="00E7752C"/>
    <w:rsid w:val="00E854F6"/>
    <w:rsid w:val="00E9454F"/>
    <w:rsid w:val="00EA0856"/>
    <w:rsid w:val="00EA2A06"/>
    <w:rsid w:val="00EA3DC7"/>
    <w:rsid w:val="00EB1386"/>
    <w:rsid w:val="00EB60A7"/>
    <w:rsid w:val="00EB6226"/>
    <w:rsid w:val="00EC2F95"/>
    <w:rsid w:val="00EE2B5D"/>
    <w:rsid w:val="00EE733A"/>
    <w:rsid w:val="00EF39A0"/>
    <w:rsid w:val="00EF573B"/>
    <w:rsid w:val="00F0661D"/>
    <w:rsid w:val="00F0734A"/>
    <w:rsid w:val="00F14843"/>
    <w:rsid w:val="00F1591C"/>
    <w:rsid w:val="00F41F2B"/>
    <w:rsid w:val="00F449E5"/>
    <w:rsid w:val="00F52474"/>
    <w:rsid w:val="00F57C1E"/>
    <w:rsid w:val="00F85C07"/>
    <w:rsid w:val="00F92226"/>
    <w:rsid w:val="00F96610"/>
    <w:rsid w:val="00F97858"/>
    <w:rsid w:val="00FA6666"/>
    <w:rsid w:val="00FA71A0"/>
    <w:rsid w:val="00FC4304"/>
    <w:rsid w:val="00FC55DD"/>
    <w:rsid w:val="00FC6B42"/>
    <w:rsid w:val="00FC6E99"/>
    <w:rsid w:val="00FE4A17"/>
    <w:rsid w:val="00FF1567"/>
    <w:rsid w:val="00FF4E18"/>
    <w:rsid w:val="00FF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1415"/>
  <w15:chartTrackingRefBased/>
  <w15:docId w15:val="{BC83C3D0-ACEF-43FD-BB96-4D9337AB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12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432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012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D44D7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Blue,Footnote Text1,Char,fn,FOOTNOTES,single space,ADB,Footnote Text Char Char Char,Footnote Text Char Char,ft,Tegn1,Tegn1 Char,Char Char Char,Footnote Text Char2 Char Char,footnote text,footnote text Char Char"/>
    <w:basedOn w:val="Normal"/>
    <w:link w:val="FootnoteTextChar"/>
    <w:unhideWhenUsed/>
    <w:qFormat/>
    <w:rsid w:val="0040112E"/>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Blue Char,Footnote Text1 Char,Char Char,fn Char,FOOTNOTES Char,single space Char,ADB Char,Footnote Text Char Char Char Char,Footnote Text Char Char Char1,ft Char,Tegn1 Char1,Tegn1 Char Char"/>
    <w:basedOn w:val="DefaultParagraphFont"/>
    <w:link w:val="FootnoteText"/>
    <w:rsid w:val="0040112E"/>
    <w:rPr>
      <w:rFonts w:ascii="Calibri" w:eastAsia="Calibri" w:hAnsi="Calibri" w:cs="Times New Roman"/>
      <w:sz w:val="20"/>
      <w:szCs w:val="20"/>
    </w:rPr>
  </w:style>
  <w:style w:type="character" w:styleId="FootnoteReference">
    <w:name w:val="footnote reference"/>
    <w:aliases w:val="ftref,-E Fußnotenzeichen,Heading 6 Char1,Footnote Reference Superscript,Footnote Reference Number,Footnote Reference_LVL6,Footnote Reference_LVL61,Footnote Reference_LVL62,Footnote Reference_LVL63,Footnote Reference_LVL64,16 Point,fr"/>
    <w:unhideWhenUsed/>
    <w:rsid w:val="0040112E"/>
    <w:rPr>
      <w:vertAlign w:val="superscript"/>
    </w:rPr>
  </w:style>
  <w:style w:type="character" w:customStyle="1" w:styleId="Heading5Char">
    <w:name w:val="Heading 5 Char"/>
    <w:basedOn w:val="DefaultParagraphFont"/>
    <w:link w:val="Heading5"/>
    <w:uiPriority w:val="9"/>
    <w:semiHidden/>
    <w:rsid w:val="00D44D72"/>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D44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D72"/>
  </w:style>
  <w:style w:type="paragraph" w:styleId="Footer">
    <w:name w:val="footer"/>
    <w:basedOn w:val="Normal"/>
    <w:link w:val="FooterChar"/>
    <w:uiPriority w:val="99"/>
    <w:semiHidden/>
    <w:unhideWhenUsed/>
    <w:rsid w:val="00D44D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4D72"/>
  </w:style>
  <w:style w:type="paragraph" w:styleId="BodyText2">
    <w:name w:val="Body Text 2"/>
    <w:basedOn w:val="Normal"/>
    <w:link w:val="BodyText2Char"/>
    <w:uiPriority w:val="99"/>
    <w:semiHidden/>
    <w:unhideWhenUsed/>
    <w:rsid w:val="00D44D72"/>
    <w:pPr>
      <w:spacing w:after="120" w:line="480" w:lineRule="auto"/>
    </w:pPr>
  </w:style>
  <w:style w:type="character" w:customStyle="1" w:styleId="BodyText2Char">
    <w:name w:val="Body Text 2 Char"/>
    <w:basedOn w:val="DefaultParagraphFont"/>
    <w:link w:val="BodyText2"/>
    <w:uiPriority w:val="99"/>
    <w:semiHidden/>
    <w:rsid w:val="00D44D72"/>
  </w:style>
  <w:style w:type="paragraph" w:styleId="BodyText">
    <w:name w:val="Body Text"/>
    <w:basedOn w:val="Normal"/>
    <w:link w:val="BodyTextChar"/>
    <w:uiPriority w:val="99"/>
    <w:semiHidden/>
    <w:unhideWhenUsed/>
    <w:rsid w:val="00D44D72"/>
    <w:pPr>
      <w:spacing w:after="120"/>
    </w:pPr>
  </w:style>
  <w:style w:type="character" w:customStyle="1" w:styleId="BodyTextChar">
    <w:name w:val="Body Text Char"/>
    <w:basedOn w:val="DefaultParagraphFont"/>
    <w:link w:val="BodyText"/>
    <w:uiPriority w:val="99"/>
    <w:semiHidden/>
    <w:rsid w:val="00D44D72"/>
  </w:style>
  <w:style w:type="character" w:styleId="PageNumber">
    <w:name w:val="page number"/>
    <w:basedOn w:val="DefaultParagraphFont"/>
    <w:rsid w:val="00D44D72"/>
  </w:style>
  <w:style w:type="character" w:styleId="SubtleReference">
    <w:name w:val="Subtle Reference"/>
    <w:basedOn w:val="DefaultParagraphFont"/>
    <w:uiPriority w:val="31"/>
    <w:qFormat/>
    <w:rsid w:val="00D44D72"/>
    <w:rPr>
      <w:smallCaps/>
      <w:color w:val="5A5A5A" w:themeColor="text1" w:themeTint="A5"/>
    </w:rPr>
  </w:style>
  <w:style w:type="paragraph" w:styleId="BalloonText">
    <w:name w:val="Balloon Text"/>
    <w:basedOn w:val="Normal"/>
    <w:link w:val="BalloonTextChar"/>
    <w:uiPriority w:val="99"/>
    <w:semiHidden/>
    <w:unhideWhenUsed/>
    <w:rsid w:val="00BE0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493"/>
    <w:rPr>
      <w:rFonts w:ascii="Segoe UI" w:hAnsi="Segoe UI" w:cs="Segoe UI"/>
      <w:sz w:val="18"/>
      <w:szCs w:val="18"/>
    </w:rPr>
  </w:style>
  <w:style w:type="paragraph" w:styleId="ListParagraph">
    <w:name w:val="List Paragraph"/>
    <w:basedOn w:val="Normal"/>
    <w:link w:val="ListParagraphChar"/>
    <w:uiPriority w:val="34"/>
    <w:qFormat/>
    <w:rsid w:val="00B40ED9"/>
    <w:pPr>
      <w:spacing w:after="200" w:line="276" w:lineRule="auto"/>
      <w:ind w:left="720"/>
    </w:pPr>
    <w:rPr>
      <w:rFonts w:ascii="Calibri" w:eastAsia="Calibri" w:hAnsi="Calibri" w:cs="Times New Roman"/>
    </w:rPr>
  </w:style>
  <w:style w:type="character" w:customStyle="1" w:styleId="ListParagraphChar">
    <w:name w:val="List Paragraph Char"/>
    <w:link w:val="ListParagraph"/>
    <w:uiPriority w:val="34"/>
    <w:rsid w:val="00B40ED9"/>
    <w:rPr>
      <w:rFonts w:ascii="Calibri" w:eastAsia="Calibri" w:hAnsi="Calibri" w:cs="Times New Roman"/>
    </w:rPr>
  </w:style>
  <w:style w:type="paragraph" w:customStyle="1" w:styleId="TableParagraph">
    <w:name w:val="Table Paragraph"/>
    <w:basedOn w:val="Normal"/>
    <w:uiPriority w:val="1"/>
    <w:qFormat/>
    <w:rsid w:val="00A4329C"/>
    <w:pPr>
      <w:widowControl w:val="0"/>
      <w:autoSpaceDE w:val="0"/>
      <w:autoSpaceDN w:val="0"/>
      <w:spacing w:before="48" w:after="0" w:line="240" w:lineRule="auto"/>
      <w:jc w:val="right"/>
    </w:pPr>
    <w:rPr>
      <w:rFonts w:ascii="Arial" w:eastAsia="Arial" w:hAnsi="Arial" w:cs="Arial"/>
      <w:lang w:val="bs"/>
    </w:rPr>
  </w:style>
  <w:style w:type="character" w:customStyle="1" w:styleId="Heading2Char">
    <w:name w:val="Heading 2 Char"/>
    <w:basedOn w:val="DefaultParagraphFont"/>
    <w:link w:val="Heading2"/>
    <w:uiPriority w:val="9"/>
    <w:semiHidden/>
    <w:rsid w:val="00A4329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0120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0120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406A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6A60"/>
    <w:rPr>
      <w:color w:val="0000FF"/>
      <w:u w:val="single"/>
    </w:rPr>
  </w:style>
  <w:style w:type="paragraph" w:customStyle="1" w:styleId="footnotedescription">
    <w:name w:val="footnote description"/>
    <w:next w:val="Normal"/>
    <w:link w:val="footnotedescriptionChar"/>
    <w:hidden/>
    <w:rsid w:val="008C0668"/>
    <w:pPr>
      <w:spacing w:after="0"/>
    </w:pPr>
    <w:rPr>
      <w:rFonts w:ascii="Arial" w:eastAsia="Arial" w:hAnsi="Arial" w:cs="Arial"/>
      <w:color w:val="000000"/>
      <w:sz w:val="16"/>
    </w:rPr>
  </w:style>
  <w:style w:type="character" w:customStyle="1" w:styleId="footnotedescriptionChar">
    <w:name w:val="footnote description Char"/>
    <w:link w:val="footnotedescription"/>
    <w:rsid w:val="008C0668"/>
    <w:rPr>
      <w:rFonts w:ascii="Arial" w:eastAsia="Arial" w:hAnsi="Arial" w:cs="Arial"/>
      <w:color w:val="000000"/>
      <w:sz w:val="16"/>
    </w:rPr>
  </w:style>
  <w:style w:type="character" w:customStyle="1" w:styleId="footnotemark">
    <w:name w:val="footnote mark"/>
    <w:hidden/>
    <w:rsid w:val="008C0668"/>
    <w:rPr>
      <w:rFonts w:ascii="Arial" w:eastAsia="Arial" w:hAnsi="Arial" w:cs="Arial"/>
      <w:color w:val="000000"/>
      <w:sz w:val="16"/>
      <w:vertAlign w:val="superscript"/>
    </w:rPr>
  </w:style>
  <w:style w:type="table" w:customStyle="1" w:styleId="TableGrid">
    <w:name w:val="TableGrid"/>
    <w:rsid w:val="008C066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8900">
      <w:bodyDiv w:val="1"/>
      <w:marLeft w:val="0"/>
      <w:marRight w:val="0"/>
      <w:marTop w:val="0"/>
      <w:marBottom w:val="0"/>
      <w:divBdr>
        <w:top w:val="none" w:sz="0" w:space="0" w:color="auto"/>
        <w:left w:val="none" w:sz="0" w:space="0" w:color="auto"/>
        <w:bottom w:val="none" w:sz="0" w:space="0" w:color="auto"/>
        <w:right w:val="none" w:sz="0" w:space="0" w:color="auto"/>
      </w:divBdr>
    </w:div>
    <w:div w:id="530267872">
      <w:bodyDiv w:val="1"/>
      <w:marLeft w:val="0"/>
      <w:marRight w:val="0"/>
      <w:marTop w:val="0"/>
      <w:marBottom w:val="0"/>
      <w:divBdr>
        <w:top w:val="none" w:sz="0" w:space="0" w:color="auto"/>
        <w:left w:val="none" w:sz="0" w:space="0" w:color="auto"/>
        <w:bottom w:val="none" w:sz="0" w:space="0" w:color="auto"/>
        <w:right w:val="none" w:sz="0" w:space="0" w:color="auto"/>
      </w:divBdr>
    </w:div>
    <w:div w:id="604776906">
      <w:bodyDiv w:val="1"/>
      <w:marLeft w:val="0"/>
      <w:marRight w:val="0"/>
      <w:marTop w:val="0"/>
      <w:marBottom w:val="0"/>
      <w:divBdr>
        <w:top w:val="none" w:sz="0" w:space="0" w:color="auto"/>
        <w:left w:val="none" w:sz="0" w:space="0" w:color="auto"/>
        <w:bottom w:val="none" w:sz="0" w:space="0" w:color="auto"/>
        <w:right w:val="none" w:sz="0" w:space="0" w:color="auto"/>
      </w:divBdr>
    </w:div>
    <w:div w:id="1074859739">
      <w:bodyDiv w:val="1"/>
      <w:marLeft w:val="0"/>
      <w:marRight w:val="0"/>
      <w:marTop w:val="0"/>
      <w:marBottom w:val="0"/>
      <w:divBdr>
        <w:top w:val="none" w:sz="0" w:space="0" w:color="auto"/>
        <w:left w:val="none" w:sz="0" w:space="0" w:color="auto"/>
        <w:bottom w:val="none" w:sz="0" w:space="0" w:color="auto"/>
        <w:right w:val="none" w:sz="0" w:space="0" w:color="auto"/>
      </w:divBdr>
    </w:div>
    <w:div w:id="1244024807">
      <w:bodyDiv w:val="1"/>
      <w:marLeft w:val="0"/>
      <w:marRight w:val="0"/>
      <w:marTop w:val="0"/>
      <w:marBottom w:val="0"/>
      <w:divBdr>
        <w:top w:val="none" w:sz="0" w:space="0" w:color="auto"/>
        <w:left w:val="none" w:sz="0" w:space="0" w:color="auto"/>
        <w:bottom w:val="none" w:sz="0" w:space="0" w:color="auto"/>
        <w:right w:val="none" w:sz="0" w:space="0" w:color="auto"/>
      </w:divBdr>
    </w:div>
    <w:div w:id="1268545282">
      <w:bodyDiv w:val="1"/>
      <w:marLeft w:val="0"/>
      <w:marRight w:val="0"/>
      <w:marTop w:val="0"/>
      <w:marBottom w:val="0"/>
      <w:divBdr>
        <w:top w:val="none" w:sz="0" w:space="0" w:color="auto"/>
        <w:left w:val="none" w:sz="0" w:space="0" w:color="auto"/>
        <w:bottom w:val="none" w:sz="0" w:space="0" w:color="auto"/>
        <w:right w:val="none" w:sz="0" w:space="0" w:color="auto"/>
      </w:divBdr>
    </w:div>
    <w:div w:id="1344362975">
      <w:bodyDiv w:val="1"/>
      <w:marLeft w:val="0"/>
      <w:marRight w:val="0"/>
      <w:marTop w:val="0"/>
      <w:marBottom w:val="0"/>
      <w:divBdr>
        <w:top w:val="none" w:sz="0" w:space="0" w:color="auto"/>
        <w:left w:val="none" w:sz="0" w:space="0" w:color="auto"/>
        <w:bottom w:val="none" w:sz="0" w:space="0" w:color="auto"/>
        <w:right w:val="none" w:sz="0" w:space="0" w:color="auto"/>
      </w:divBdr>
    </w:div>
    <w:div w:id="1523546822">
      <w:bodyDiv w:val="1"/>
      <w:marLeft w:val="0"/>
      <w:marRight w:val="0"/>
      <w:marTop w:val="0"/>
      <w:marBottom w:val="0"/>
      <w:divBdr>
        <w:top w:val="none" w:sz="0" w:space="0" w:color="auto"/>
        <w:left w:val="none" w:sz="0" w:space="0" w:color="auto"/>
        <w:bottom w:val="none" w:sz="0" w:space="0" w:color="auto"/>
        <w:right w:val="none" w:sz="0" w:space="0" w:color="auto"/>
      </w:divBdr>
    </w:div>
    <w:div w:id="1619294117">
      <w:bodyDiv w:val="1"/>
      <w:marLeft w:val="0"/>
      <w:marRight w:val="0"/>
      <w:marTop w:val="0"/>
      <w:marBottom w:val="0"/>
      <w:divBdr>
        <w:top w:val="none" w:sz="0" w:space="0" w:color="auto"/>
        <w:left w:val="none" w:sz="0" w:space="0" w:color="auto"/>
        <w:bottom w:val="none" w:sz="0" w:space="0" w:color="auto"/>
        <w:right w:val="none" w:sz="0" w:space="0" w:color="auto"/>
      </w:divBdr>
    </w:div>
    <w:div w:id="19708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6.jpg"/><Relationship Id="rId26" Type="http://schemas.openxmlformats.org/officeDocument/2006/relationships/hyperlink" Target="https://bs.wikipedia.org/wiki/Ste%C4%87ci" TargetMode="External"/><Relationship Id="rId39"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image" Target="media/image9.jpg"/><Relationship Id="rId34" Type="http://schemas.openxmlformats.org/officeDocument/2006/relationships/hyperlink" Target="https://bs.wikipedia.org/wiki/Ustipra%C4%8D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g"/><Relationship Id="rId25" Type="http://schemas.openxmlformats.org/officeDocument/2006/relationships/hyperlink" Target="https://bs.wikipedia.org/wiki/Bosansko-podrinjski_kanton_Gora%C5%BEde" TargetMode="External"/><Relationship Id="rId33" Type="http://schemas.openxmlformats.org/officeDocument/2006/relationships/hyperlink" Target="https://bs.wikipedia.org/wiki/Rat_u_Bosni_i_Hercegovini" TargetMode="External"/><Relationship Id="rId38" Type="http://schemas.openxmlformats.org/officeDocument/2006/relationships/hyperlink" Target="https://bs.wikipedia.org/wiki/2001"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8.jpg"/><Relationship Id="rId29" Type="http://schemas.openxmlformats.org/officeDocument/2006/relationships/hyperlink" Target="https://bs.wikipedia.org/wiki/187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bs.wikipedia.org/wiki/Bosansko-podrinjski_kanton_Gora%C5%BEde" TargetMode="External"/><Relationship Id="rId32" Type="http://schemas.openxmlformats.org/officeDocument/2006/relationships/hyperlink" Target="https://bs.wikipedia.org/wiki/Drugi_svjetski_rat" TargetMode="External"/><Relationship Id="rId37" Type="http://schemas.openxmlformats.org/officeDocument/2006/relationships/hyperlink" Target="https://bs.wikipedia.org/wiki/Dejtonski_sporazum" TargetMode="External"/><Relationship Id="rId40"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s://bs.wikipedia.org/wiki/1379" TargetMode="External"/><Relationship Id="rId28" Type="http://schemas.openxmlformats.org/officeDocument/2006/relationships/hyperlink" Target="https://bs.wikipedia.org/wiki/1465" TargetMode="External"/><Relationship Id="rId36" Type="http://schemas.openxmlformats.org/officeDocument/2006/relationships/hyperlink" Target="https://bs.wikipedia.org/wiki/Fo%C4%8Da-Ustikolina" TargetMode="External"/><Relationship Id="rId10" Type="http://schemas.openxmlformats.org/officeDocument/2006/relationships/header" Target="header1.xml"/><Relationship Id="rId19" Type="http://schemas.openxmlformats.org/officeDocument/2006/relationships/image" Target="media/image7.jpg"/><Relationship Id="rId31" Type="http://schemas.openxmlformats.org/officeDocument/2006/relationships/hyperlink" Target="https://bs.wikipedia.org/wiki/Prvi_svjetski_rat"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 Id="rId22" Type="http://schemas.openxmlformats.org/officeDocument/2006/relationships/image" Target="media/image10.jpg"/><Relationship Id="rId27" Type="http://schemas.openxmlformats.org/officeDocument/2006/relationships/hyperlink" Target="https://bs.wikipedia.org/wiki/Osmanlijsko_carstvo" TargetMode="External"/><Relationship Id="rId30" Type="http://schemas.openxmlformats.org/officeDocument/2006/relationships/hyperlink" Target="https://bs.wikipedia.org/wiki/Austro-Ugarska" TargetMode="External"/><Relationship Id="rId35" Type="http://schemas.openxmlformats.org/officeDocument/2006/relationships/hyperlink" Target="https://bs.wikipedia.org/wiki/Pale-Pra%C4%8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E45C-9399-407F-8CDC-2D5E3460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24</Pages>
  <Words>7319</Words>
  <Characters>41722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764</cp:revision>
  <cp:lastPrinted>2020-05-14T07:13:00Z</cp:lastPrinted>
  <dcterms:created xsi:type="dcterms:W3CDTF">2020-05-13T10:23:00Z</dcterms:created>
  <dcterms:modified xsi:type="dcterms:W3CDTF">2023-05-05T12:38:00Z</dcterms:modified>
</cp:coreProperties>
</file>